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Default="00C3590A" w:rsidP="0065763C">
      <w:pPr>
        <w:pStyle w:val="BCIDocumentHeading"/>
      </w:pPr>
      <w:r>
        <w:t xml:space="preserve">BCI </w:t>
      </w:r>
      <w:r w:rsidR="000B2DA3">
        <w:t>Gin M</w:t>
      </w:r>
      <w:r w:rsidR="000A3415">
        <w:t>onitoring Reporting Template</w:t>
      </w:r>
    </w:p>
    <w:p w:rsidR="00C3590A" w:rsidRDefault="000B2DA3" w:rsidP="008E4D2A">
      <w:pPr>
        <w:pStyle w:val="BCIHeading"/>
        <w:rPr>
          <w:sz w:val="24"/>
        </w:rPr>
      </w:pPr>
      <w:r>
        <w:rPr>
          <w:sz w:val="28"/>
        </w:rPr>
        <w:t>2018</w:t>
      </w:r>
    </w:p>
    <w:p w:rsidR="00823ABA" w:rsidRDefault="00823ABA" w:rsidP="008E4D2A">
      <w:pPr>
        <w:pStyle w:val="BCIHeading"/>
        <w:rPr>
          <w:b w:val="0"/>
        </w:rPr>
      </w:pPr>
    </w:p>
    <w:p w:rsidR="0076578D" w:rsidRDefault="00960818" w:rsidP="003940B9">
      <w:pPr>
        <w:pStyle w:val="Heading1"/>
      </w:pPr>
      <w:r>
        <w:t>Introduc</w:t>
      </w:r>
      <w:r w:rsidRPr="002D3F78">
        <w:t>tion</w:t>
      </w:r>
    </w:p>
    <w:p w:rsidR="008A551F" w:rsidRDefault="000B2DA3" w:rsidP="00004C7B">
      <w:pPr>
        <w:pStyle w:val="BCITableContent"/>
      </w:pPr>
      <w:bookmarkStart w:id="0" w:name="_Hlk515977123"/>
      <w:r>
        <w:t>This reporting template is designed to be used during gin monitoring and audit visits for gins that are buying and selling Better Cotton.</w:t>
      </w:r>
      <w:bookmarkEnd w:id="0"/>
      <w:r w:rsidR="00AE219A">
        <w:t xml:space="preserve"> It is applicable for BCI staff or consultants carrying out second-party gin monitoring visits as well as third-party verifiers carrying out gin audits against the </w:t>
      </w:r>
      <w:hyperlink r:id="rId8" w:history="1">
        <w:r w:rsidR="00AE219A" w:rsidRPr="00AE219A">
          <w:rPr>
            <w:rStyle w:val="Hyperlink"/>
            <w:i/>
          </w:rPr>
          <w:t>Better Cotton Chain of Custody Guidelines v1.3</w:t>
        </w:r>
      </w:hyperlink>
      <w:r w:rsidR="00AE219A">
        <w:t>.</w:t>
      </w:r>
      <w:r w:rsidR="002727D3">
        <w:t xml:space="preserve">   Annex 1 includes a table where interviews (i.e. with workers) may be recorded.</w:t>
      </w:r>
    </w:p>
    <w:p w:rsidR="002727D3" w:rsidRDefault="002727D3" w:rsidP="00004C7B">
      <w:pPr>
        <w:pStyle w:val="BCITableContent"/>
      </w:pPr>
    </w:p>
    <w:p w:rsidR="00004C7B" w:rsidRDefault="000A3415" w:rsidP="00004C7B">
      <w:pPr>
        <w:pStyle w:val="Heading1"/>
      </w:pPr>
      <w:r>
        <w:t xml:space="preserve">Gin </w:t>
      </w:r>
      <w:r w:rsidR="00004C7B">
        <w:t xml:space="preserve">Information </w:t>
      </w:r>
    </w:p>
    <w:tbl>
      <w:tblPr>
        <w:tblStyle w:val="TableGrid"/>
        <w:tblW w:w="0" w:type="auto"/>
        <w:tblLook w:val="04A0" w:firstRow="1" w:lastRow="0" w:firstColumn="1" w:lastColumn="0" w:noHBand="0" w:noVBand="1"/>
      </w:tblPr>
      <w:tblGrid>
        <w:gridCol w:w="2972"/>
        <w:gridCol w:w="1559"/>
        <w:gridCol w:w="2127"/>
        <w:gridCol w:w="1417"/>
        <w:gridCol w:w="5102"/>
      </w:tblGrid>
      <w:tr w:rsidR="00004C7B" w:rsidTr="00004C7B">
        <w:trPr>
          <w:trHeight w:val="411"/>
        </w:trPr>
        <w:tc>
          <w:tcPr>
            <w:tcW w:w="2972"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sidRPr="00004C7B">
              <w:rPr>
                <w:rFonts w:ascii="Arial" w:hAnsi="Arial" w:cs="Arial"/>
                <w:color w:val="404040" w:themeColor="text1" w:themeTint="BF"/>
                <w:sz w:val="19"/>
              </w:rPr>
              <w:t>Gin Name</w:t>
            </w:r>
          </w:p>
        </w:tc>
        <w:tc>
          <w:tcPr>
            <w:tcW w:w="3686" w:type="dxa"/>
            <w:gridSpan w:val="2"/>
            <w:vAlign w:val="center"/>
          </w:tcPr>
          <w:p w:rsidR="00004C7B" w:rsidRPr="00004C7B" w:rsidRDefault="009254B9" w:rsidP="00004C7B">
            <w:pPr>
              <w:spacing w:after="0"/>
              <w:jc w:val="left"/>
              <w:rPr>
                <w:rFonts w:ascii="Arial" w:hAnsi="Arial" w:cs="Arial"/>
                <w:color w:val="404040" w:themeColor="text1" w:themeTint="BF"/>
                <w:sz w:val="19"/>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1417"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BCI Code:</w:t>
            </w:r>
          </w:p>
        </w:tc>
        <w:tc>
          <w:tcPr>
            <w:tcW w:w="5102" w:type="dxa"/>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bookmarkStart w:id="1" w:name="_GoBack"/>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bookmarkEnd w:id="1"/>
            <w:r w:rsidRPr="003D0C18">
              <w:rPr>
                <w:rFonts w:ascii="Arial" w:eastAsia="Times New Roman" w:hAnsi="Arial" w:cs="Arial"/>
                <w:bCs/>
                <w:color w:val="404040" w:themeColor="text1" w:themeTint="BF"/>
                <w:sz w:val="22"/>
                <w:szCs w:val="28"/>
              </w:rPr>
              <w:fldChar w:fldCharType="end"/>
            </w:r>
          </w:p>
        </w:tc>
      </w:tr>
      <w:tr w:rsidR="00004C7B" w:rsidTr="00004C7B">
        <w:trPr>
          <w:trHeight w:val="411"/>
        </w:trPr>
        <w:tc>
          <w:tcPr>
            <w:tcW w:w="2972" w:type="dxa"/>
            <w:vMerge w:val="restart"/>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Address</w:t>
            </w:r>
          </w:p>
        </w:tc>
        <w:tc>
          <w:tcPr>
            <w:tcW w:w="1559" w:type="dxa"/>
            <w:shd w:val="clear" w:color="auto" w:fill="F2F2F2" w:themeFill="background1" w:themeFillShade="F2"/>
            <w:vAlign w:val="center"/>
          </w:tcPr>
          <w:p w:rsidR="00004C7B" w:rsidRDefault="00004C7B" w:rsidP="00004C7B">
            <w:pPr>
              <w:spacing w:after="0"/>
            </w:pPr>
            <w:r>
              <w:rPr>
                <w:rFonts w:ascii="Arial" w:hAnsi="Arial" w:cs="Arial"/>
                <w:color w:val="404040" w:themeColor="text1" w:themeTint="BF"/>
                <w:sz w:val="19"/>
              </w:rPr>
              <w:t>Str</w:t>
            </w:r>
            <w:r w:rsidRPr="00004C7B">
              <w:rPr>
                <w:rFonts w:ascii="Arial" w:hAnsi="Arial" w:cs="Arial"/>
                <w:color w:val="404040" w:themeColor="text1" w:themeTint="BF"/>
                <w:sz w:val="19"/>
              </w:rPr>
              <w:t xml:space="preserve">eet </w:t>
            </w:r>
            <w:r>
              <w:rPr>
                <w:rFonts w:ascii="Arial" w:hAnsi="Arial" w:cs="Arial"/>
                <w:color w:val="404040" w:themeColor="text1" w:themeTint="BF"/>
                <w:sz w:val="19"/>
              </w:rPr>
              <w:t>a</w:t>
            </w:r>
            <w:r w:rsidRPr="00004C7B">
              <w:rPr>
                <w:rFonts w:ascii="Arial" w:hAnsi="Arial" w:cs="Arial"/>
                <w:color w:val="404040" w:themeColor="text1" w:themeTint="BF"/>
                <w:sz w:val="19"/>
              </w:rPr>
              <w:t>d</w:t>
            </w:r>
            <w:r>
              <w:rPr>
                <w:rFonts w:ascii="Arial" w:hAnsi="Arial" w:cs="Arial"/>
                <w:color w:val="404040" w:themeColor="text1" w:themeTint="BF"/>
                <w:sz w:val="19"/>
              </w:rPr>
              <w:t>d</w:t>
            </w:r>
            <w:r w:rsidRPr="00004C7B">
              <w:rPr>
                <w:rFonts w:ascii="Arial" w:hAnsi="Arial" w:cs="Arial"/>
                <w:color w:val="404040" w:themeColor="text1" w:themeTint="BF"/>
                <w:sz w:val="19"/>
              </w:rPr>
              <w:t>ress</w:t>
            </w:r>
          </w:p>
        </w:tc>
        <w:tc>
          <w:tcPr>
            <w:tcW w:w="8646" w:type="dxa"/>
            <w:gridSpan w:val="3"/>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004C7B" w:rsidTr="00004C7B">
        <w:trPr>
          <w:trHeight w:val="411"/>
        </w:trPr>
        <w:tc>
          <w:tcPr>
            <w:tcW w:w="2972" w:type="dxa"/>
            <w:vMerge/>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p>
        </w:tc>
        <w:tc>
          <w:tcPr>
            <w:tcW w:w="1559"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 xml:space="preserve">State </w:t>
            </w:r>
          </w:p>
        </w:tc>
        <w:tc>
          <w:tcPr>
            <w:tcW w:w="2127" w:type="dxa"/>
            <w:vAlign w:val="center"/>
          </w:tcPr>
          <w:p w:rsidR="00004C7B" w:rsidRPr="00004C7B" w:rsidRDefault="009254B9" w:rsidP="00004C7B">
            <w:pPr>
              <w:spacing w:after="0"/>
              <w:jc w:val="left"/>
              <w:rPr>
                <w:rFonts w:ascii="Arial" w:hAnsi="Arial" w:cs="Arial"/>
                <w:color w:val="404040" w:themeColor="text1" w:themeTint="BF"/>
                <w:sz w:val="19"/>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1417"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Country</w:t>
            </w:r>
          </w:p>
        </w:tc>
        <w:tc>
          <w:tcPr>
            <w:tcW w:w="5102" w:type="dxa"/>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004C7B" w:rsidTr="00004C7B">
        <w:trPr>
          <w:trHeight w:val="425"/>
        </w:trPr>
        <w:tc>
          <w:tcPr>
            <w:tcW w:w="2972"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sidRPr="00004C7B">
              <w:rPr>
                <w:rFonts w:ascii="Arial" w:hAnsi="Arial" w:cs="Arial"/>
                <w:color w:val="404040" w:themeColor="text1" w:themeTint="BF"/>
                <w:sz w:val="19"/>
              </w:rPr>
              <w:t xml:space="preserve">BCI </w:t>
            </w:r>
            <w:r>
              <w:rPr>
                <w:rFonts w:ascii="Arial" w:hAnsi="Arial" w:cs="Arial"/>
                <w:color w:val="404040" w:themeColor="text1" w:themeTint="BF"/>
                <w:sz w:val="19"/>
              </w:rPr>
              <w:t>c</w:t>
            </w:r>
            <w:r w:rsidRPr="00004C7B">
              <w:rPr>
                <w:rFonts w:ascii="Arial" w:hAnsi="Arial" w:cs="Arial"/>
                <w:color w:val="404040" w:themeColor="text1" w:themeTint="BF"/>
                <w:sz w:val="19"/>
              </w:rPr>
              <w:t xml:space="preserve">ontact </w:t>
            </w:r>
            <w:r>
              <w:rPr>
                <w:rFonts w:ascii="Arial" w:hAnsi="Arial" w:cs="Arial"/>
                <w:color w:val="404040" w:themeColor="text1" w:themeTint="BF"/>
                <w:sz w:val="19"/>
              </w:rPr>
              <w:t>n</w:t>
            </w:r>
            <w:r w:rsidRPr="00004C7B">
              <w:rPr>
                <w:rFonts w:ascii="Arial" w:hAnsi="Arial" w:cs="Arial"/>
                <w:color w:val="404040" w:themeColor="text1" w:themeTint="BF"/>
                <w:sz w:val="19"/>
              </w:rPr>
              <w:t>ame</w:t>
            </w:r>
            <w:r>
              <w:rPr>
                <w:rFonts w:ascii="Arial" w:hAnsi="Arial" w:cs="Arial"/>
                <w:color w:val="404040" w:themeColor="text1" w:themeTint="BF"/>
                <w:sz w:val="19"/>
              </w:rPr>
              <w:t xml:space="preserve"> and role</w:t>
            </w:r>
          </w:p>
        </w:tc>
        <w:tc>
          <w:tcPr>
            <w:tcW w:w="10205" w:type="dxa"/>
            <w:gridSpan w:val="4"/>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004C7B" w:rsidTr="00004C7B">
        <w:trPr>
          <w:trHeight w:val="411"/>
        </w:trPr>
        <w:tc>
          <w:tcPr>
            <w:tcW w:w="2972"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sidRPr="00004C7B">
              <w:rPr>
                <w:rFonts w:ascii="Arial" w:hAnsi="Arial" w:cs="Arial"/>
                <w:color w:val="404040" w:themeColor="text1" w:themeTint="BF"/>
                <w:sz w:val="19"/>
              </w:rPr>
              <w:t xml:space="preserve">Additional </w:t>
            </w:r>
            <w:r>
              <w:rPr>
                <w:rFonts w:ascii="Arial" w:hAnsi="Arial" w:cs="Arial"/>
                <w:color w:val="404040" w:themeColor="text1" w:themeTint="BF"/>
                <w:sz w:val="19"/>
              </w:rPr>
              <w:t>c</w:t>
            </w:r>
            <w:r w:rsidRPr="00004C7B">
              <w:rPr>
                <w:rFonts w:ascii="Arial" w:hAnsi="Arial" w:cs="Arial"/>
                <w:color w:val="404040" w:themeColor="text1" w:themeTint="BF"/>
                <w:sz w:val="19"/>
              </w:rPr>
              <w:t>ontact</w:t>
            </w:r>
            <w:r>
              <w:rPr>
                <w:rFonts w:ascii="Arial" w:hAnsi="Arial" w:cs="Arial"/>
                <w:color w:val="404040" w:themeColor="text1" w:themeTint="BF"/>
                <w:sz w:val="19"/>
              </w:rPr>
              <w:t xml:space="preserve"> names</w:t>
            </w:r>
          </w:p>
        </w:tc>
        <w:tc>
          <w:tcPr>
            <w:tcW w:w="10205" w:type="dxa"/>
            <w:gridSpan w:val="4"/>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004C7B" w:rsidTr="00004C7B">
        <w:trPr>
          <w:trHeight w:val="641"/>
        </w:trPr>
        <w:tc>
          <w:tcPr>
            <w:tcW w:w="2972" w:type="dxa"/>
            <w:shd w:val="clear" w:color="auto" w:fill="F2F2F2" w:themeFill="background1" w:themeFillShade="F2"/>
            <w:vAlign w:val="center"/>
          </w:tcPr>
          <w:p w:rsidR="00004C7B" w:rsidRP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Date of monitoring visit or audit</w:t>
            </w:r>
          </w:p>
        </w:tc>
        <w:tc>
          <w:tcPr>
            <w:tcW w:w="10205" w:type="dxa"/>
            <w:gridSpan w:val="4"/>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004C7B" w:rsidTr="00950063">
        <w:trPr>
          <w:trHeight w:val="459"/>
        </w:trPr>
        <w:tc>
          <w:tcPr>
            <w:tcW w:w="2972" w:type="dxa"/>
            <w:shd w:val="clear" w:color="auto" w:fill="F2F2F2" w:themeFill="background1" w:themeFillShade="F2"/>
            <w:vAlign w:val="center"/>
          </w:tcPr>
          <w:p w:rsidR="00004C7B" w:rsidRDefault="00004C7B" w:rsidP="00004C7B">
            <w:pPr>
              <w:spacing w:after="0"/>
              <w:jc w:val="left"/>
              <w:rPr>
                <w:rFonts w:ascii="Arial" w:hAnsi="Arial" w:cs="Arial"/>
                <w:color w:val="404040" w:themeColor="text1" w:themeTint="BF"/>
                <w:sz w:val="19"/>
              </w:rPr>
            </w:pPr>
            <w:r>
              <w:rPr>
                <w:rFonts w:ascii="Arial" w:hAnsi="Arial" w:cs="Arial"/>
                <w:color w:val="404040" w:themeColor="text1" w:themeTint="BF"/>
                <w:sz w:val="19"/>
              </w:rPr>
              <w:t>Name of assessor(s)</w:t>
            </w:r>
          </w:p>
        </w:tc>
        <w:tc>
          <w:tcPr>
            <w:tcW w:w="3686" w:type="dxa"/>
            <w:gridSpan w:val="2"/>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1417" w:type="dxa"/>
            <w:shd w:val="clear" w:color="auto" w:fill="F2F2F2" w:themeFill="background1" w:themeFillShade="F2"/>
            <w:vAlign w:val="center"/>
          </w:tcPr>
          <w:p w:rsidR="00004C7B" w:rsidRPr="00004C7B" w:rsidRDefault="00004C7B" w:rsidP="00004C7B">
            <w:pPr>
              <w:spacing w:after="0"/>
              <w:rPr>
                <w:rFonts w:ascii="Arial" w:hAnsi="Arial" w:cs="Arial"/>
              </w:rPr>
            </w:pPr>
            <w:r w:rsidRPr="00004C7B">
              <w:rPr>
                <w:rFonts w:ascii="Arial" w:hAnsi="Arial" w:cs="Arial"/>
                <w:color w:val="404040" w:themeColor="text1" w:themeTint="BF"/>
                <w:sz w:val="20"/>
              </w:rPr>
              <w:t>Organisation</w:t>
            </w:r>
          </w:p>
        </w:tc>
        <w:tc>
          <w:tcPr>
            <w:tcW w:w="5102" w:type="dxa"/>
            <w:vAlign w:val="center"/>
          </w:tcPr>
          <w:p w:rsidR="00004C7B" w:rsidRDefault="009254B9" w:rsidP="00004C7B">
            <w:pPr>
              <w:spacing w:after="0"/>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bl>
    <w:p w:rsidR="00004C7B" w:rsidRPr="00004C7B" w:rsidRDefault="00004C7B" w:rsidP="00004C7B">
      <w:pPr>
        <w:sectPr w:rsidR="00004C7B" w:rsidRPr="00004C7B" w:rsidSect="006F7292">
          <w:headerReference w:type="default" r:id="rId9"/>
          <w:footerReference w:type="default" r:id="rId10"/>
          <w:pgSz w:w="16840" w:h="11900" w:orient="landscape"/>
          <w:pgMar w:top="1701" w:right="1418" w:bottom="1418" w:left="1440" w:header="709" w:footer="643" w:gutter="0"/>
          <w:cols w:space="708"/>
          <w:docGrid w:linePitch="326"/>
        </w:sectPr>
      </w:pPr>
    </w:p>
    <w:p w:rsidR="00C134E5" w:rsidRPr="00C134E5" w:rsidRDefault="00C134E5" w:rsidP="000A3415">
      <w:pPr>
        <w:pStyle w:val="Heading1"/>
      </w:pPr>
      <w:bookmarkStart w:id="2" w:name="_Hlk515980915"/>
      <w:r w:rsidRPr="00C134E5">
        <w:lastRenderedPageBreak/>
        <w:t xml:space="preserve">Summary </w:t>
      </w:r>
      <w:r>
        <w:t>Outcome</w:t>
      </w:r>
      <w:r w:rsidRPr="00C134E5">
        <w:t xml:space="preserve"> </w:t>
      </w:r>
    </w:p>
    <w:p w:rsidR="00C134E5" w:rsidRPr="003D0C18" w:rsidRDefault="000B2DA3"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Were any Minor Non-Conformities </w:t>
      </w:r>
      <w:r w:rsidR="00891239">
        <w:rPr>
          <w:rFonts w:ascii="Arial" w:eastAsia="Times New Roman" w:hAnsi="Arial" w:cs="Arial"/>
          <w:bCs/>
          <w:color w:val="404040" w:themeColor="text1" w:themeTint="BF"/>
          <w:sz w:val="22"/>
        </w:rPr>
        <w:t>observed</w:t>
      </w:r>
      <w:r w:rsidR="00891239" w:rsidRPr="003D0C18">
        <w:rPr>
          <w:rFonts w:ascii="Arial" w:eastAsia="Times New Roman" w:hAnsi="Arial" w:cs="Arial"/>
          <w:bCs/>
          <w:color w:val="404040" w:themeColor="text1" w:themeTint="BF"/>
          <w:sz w:val="22"/>
        </w:rPr>
        <w:t>?</w:t>
      </w:r>
      <w:r w:rsidR="00C134E5" w:rsidRPr="003D0C18">
        <w:rPr>
          <w:rFonts w:ascii="Arial" w:eastAsia="Times New Roman" w:hAnsi="Arial" w:cs="Arial"/>
          <w:bCs/>
          <w:color w:val="404040" w:themeColor="text1" w:themeTint="BF"/>
          <w:sz w:val="22"/>
        </w:rPr>
        <w:t xml:space="preserve"> </w:t>
      </w:r>
      <w:r w:rsidR="00A738CD">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3" w:name="Check56"/>
      <w:r w:rsidR="00C134E5"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fldChar w:fldCharType="end"/>
      </w:r>
      <w:bookmarkEnd w:id="3"/>
      <w:r w:rsidR="00C134E5" w:rsidRPr="003D0C18">
        <w:rPr>
          <w:rFonts w:ascii="Arial" w:eastAsia="Times New Roman" w:hAnsi="Arial" w:cs="Arial"/>
          <w:bCs/>
          <w:color w:val="404040" w:themeColor="text1" w:themeTint="BF"/>
          <w:sz w:val="22"/>
        </w:rPr>
        <w:t xml:space="preserve"> Yes</w:t>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4" w:name="Check57"/>
      <w:r w:rsidR="00C134E5"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fldChar w:fldCharType="end"/>
      </w:r>
      <w:bookmarkEnd w:id="4"/>
      <w:r w:rsidR="00C134E5" w:rsidRPr="003D0C18">
        <w:rPr>
          <w:rFonts w:ascii="Arial" w:eastAsia="Times New Roman" w:hAnsi="Arial" w:cs="Arial"/>
          <w:bCs/>
          <w:color w:val="404040" w:themeColor="text1" w:themeTint="BF"/>
          <w:sz w:val="22"/>
        </w:rPr>
        <w:t xml:space="preserve"> No</w:t>
      </w:r>
    </w:p>
    <w:p w:rsidR="000B2DA3" w:rsidRPr="003D0C18" w:rsidRDefault="000B2DA3" w:rsidP="000B2DA3">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Were any Major Non-Conformities observed? </w:t>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rsidR="007B28E8" w:rsidRDefault="007B28E8" w:rsidP="009158E6">
      <w:pPr>
        <w:spacing w:after="120"/>
        <w:rPr>
          <w:rFonts w:ascii="Arial" w:eastAsia="Times New Roman" w:hAnsi="Arial" w:cs="Arial"/>
          <w:b/>
          <w:bCs/>
          <w:i/>
          <w:color w:val="404040" w:themeColor="text1" w:themeTint="BF"/>
          <w:sz w:val="18"/>
          <w:szCs w:val="18"/>
        </w:rPr>
      </w:pPr>
    </w:p>
    <w:p w:rsidR="009158E6" w:rsidRPr="009158E6" w:rsidRDefault="009158E6" w:rsidP="009158E6">
      <w:pPr>
        <w:spacing w:after="120"/>
        <w:rPr>
          <w:rFonts w:ascii="Arial" w:eastAsia="Times New Roman" w:hAnsi="Arial" w:cs="Arial"/>
          <w:bCs/>
          <w:i/>
          <w:color w:val="404040" w:themeColor="text1" w:themeTint="BF"/>
          <w:sz w:val="18"/>
          <w:szCs w:val="18"/>
        </w:rPr>
      </w:pPr>
      <w:r w:rsidRPr="009158E6">
        <w:rPr>
          <w:rFonts w:ascii="Arial" w:eastAsia="Times New Roman" w:hAnsi="Arial" w:cs="Arial"/>
          <w:b/>
          <w:bCs/>
          <w:i/>
          <w:color w:val="404040" w:themeColor="text1" w:themeTint="BF"/>
          <w:sz w:val="18"/>
          <w:szCs w:val="18"/>
        </w:rPr>
        <w:t>Note:</w:t>
      </w:r>
      <w:r w:rsidRPr="009158E6">
        <w:rPr>
          <w:rFonts w:ascii="Arial" w:eastAsia="Times New Roman" w:hAnsi="Arial" w:cs="Arial"/>
          <w:bCs/>
          <w:i/>
          <w:color w:val="404040" w:themeColor="text1" w:themeTint="BF"/>
          <w:sz w:val="18"/>
          <w:szCs w:val="18"/>
        </w:rPr>
        <w:t xml:space="preserve"> A non-conformity (NC) is graded as Minor if it is an isolated event that is limited in temporal and spatial scale, and where an effective internal management system was in place that should have prevented or detected the issue. A NC can also be graded as Minor if it does not result in a fundamental failure to achieve the objective of the relevant requirement.</w:t>
      </w:r>
    </w:p>
    <w:p w:rsidR="009158E6" w:rsidRPr="009158E6" w:rsidRDefault="009158E6" w:rsidP="009158E6">
      <w:pPr>
        <w:spacing w:after="120"/>
        <w:rPr>
          <w:rFonts w:ascii="Arial" w:eastAsia="Times New Roman" w:hAnsi="Arial" w:cs="Arial"/>
          <w:bCs/>
          <w:i/>
          <w:color w:val="404040" w:themeColor="text1" w:themeTint="BF"/>
          <w:sz w:val="18"/>
          <w:szCs w:val="18"/>
        </w:rPr>
      </w:pPr>
      <w:r w:rsidRPr="009158E6">
        <w:rPr>
          <w:rFonts w:ascii="Arial" w:eastAsia="Times New Roman" w:hAnsi="Arial" w:cs="Arial"/>
          <w:bCs/>
          <w:i/>
          <w:color w:val="404040" w:themeColor="text1" w:themeTint="BF"/>
          <w:sz w:val="18"/>
          <w:szCs w:val="18"/>
        </w:rPr>
        <w:t>A non-conformity (NC) is graded as Major if it results in, or is likely to result, in a fundamental failure to achieve the objective of the relevant requirement (either alone or in combination with other NCs). Major NCs typically continue over a period of time or are repeated or systematic in nature.</w:t>
      </w:r>
    </w:p>
    <w:p w:rsidR="009158E6" w:rsidRPr="009158E6" w:rsidRDefault="009158E6" w:rsidP="009158E6">
      <w:pPr>
        <w:spacing w:after="120"/>
        <w:rPr>
          <w:rFonts w:ascii="Arial" w:eastAsia="Times New Roman" w:hAnsi="Arial" w:cs="Arial"/>
          <w:bCs/>
          <w:i/>
          <w:color w:val="404040" w:themeColor="text1" w:themeTint="BF"/>
          <w:sz w:val="22"/>
        </w:rPr>
      </w:pPr>
    </w:p>
    <w:p w:rsidR="0078254A" w:rsidRDefault="000B2DA3"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Based on the outcome of the gin audit or monitoring visit, do you recommend suspend</w:t>
      </w:r>
      <w:r w:rsidR="0078254A">
        <w:rPr>
          <w:rFonts w:ascii="Arial" w:eastAsia="Times New Roman" w:hAnsi="Arial" w:cs="Arial"/>
          <w:bCs/>
          <w:color w:val="404040" w:themeColor="text1" w:themeTint="BF"/>
          <w:sz w:val="22"/>
        </w:rPr>
        <w:t>ing</w:t>
      </w:r>
      <w:r>
        <w:rPr>
          <w:rFonts w:ascii="Arial" w:eastAsia="Times New Roman" w:hAnsi="Arial" w:cs="Arial"/>
          <w:bCs/>
          <w:color w:val="404040" w:themeColor="text1" w:themeTint="BF"/>
          <w:sz w:val="22"/>
        </w:rPr>
        <w:t xml:space="preserve"> the gin’s Better Cotton Platform account?</w:t>
      </w:r>
    </w:p>
    <w:p w:rsidR="000B2DA3" w:rsidRDefault="000B2DA3"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 </w:t>
      </w:r>
      <w:r w:rsidR="0078254A"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0078254A"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0078254A" w:rsidRPr="003D0C18">
        <w:rPr>
          <w:rFonts w:ascii="Arial" w:eastAsia="Times New Roman" w:hAnsi="Arial" w:cs="Arial"/>
          <w:bCs/>
          <w:color w:val="404040" w:themeColor="text1" w:themeTint="BF"/>
          <w:sz w:val="22"/>
        </w:rPr>
        <w:fldChar w:fldCharType="end"/>
      </w:r>
      <w:r w:rsidR="0078254A" w:rsidRPr="003D0C18">
        <w:rPr>
          <w:rFonts w:ascii="Arial" w:eastAsia="Times New Roman" w:hAnsi="Arial" w:cs="Arial"/>
          <w:bCs/>
          <w:color w:val="404040" w:themeColor="text1" w:themeTint="BF"/>
          <w:sz w:val="22"/>
        </w:rPr>
        <w:t xml:space="preserve"> Yes</w:t>
      </w:r>
      <w:r w:rsidR="0078254A" w:rsidRPr="003D0C18">
        <w:rPr>
          <w:rFonts w:ascii="Arial" w:eastAsia="Times New Roman" w:hAnsi="Arial" w:cs="Arial"/>
          <w:bCs/>
          <w:color w:val="404040" w:themeColor="text1" w:themeTint="BF"/>
          <w:sz w:val="22"/>
        </w:rPr>
        <w:tab/>
      </w:r>
      <w:r w:rsidR="0078254A" w:rsidRPr="003D0C18">
        <w:rPr>
          <w:rFonts w:ascii="Arial" w:eastAsia="Times New Roman" w:hAnsi="Arial" w:cs="Arial"/>
          <w:bCs/>
          <w:color w:val="404040" w:themeColor="text1" w:themeTint="BF"/>
          <w:sz w:val="22"/>
        </w:rPr>
        <w:tab/>
      </w:r>
      <w:r w:rsidR="0078254A"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0078254A"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0078254A" w:rsidRPr="003D0C18">
        <w:rPr>
          <w:rFonts w:ascii="Arial" w:eastAsia="Times New Roman" w:hAnsi="Arial" w:cs="Arial"/>
          <w:bCs/>
          <w:color w:val="404040" w:themeColor="text1" w:themeTint="BF"/>
          <w:sz w:val="22"/>
        </w:rPr>
        <w:fldChar w:fldCharType="end"/>
      </w:r>
      <w:r w:rsidR="0078254A" w:rsidRPr="003D0C18">
        <w:rPr>
          <w:rFonts w:ascii="Arial" w:eastAsia="Times New Roman" w:hAnsi="Arial" w:cs="Arial"/>
          <w:bCs/>
          <w:color w:val="404040" w:themeColor="text1" w:themeTint="BF"/>
          <w:sz w:val="22"/>
        </w:rPr>
        <w:t xml:space="preserve"> No</w:t>
      </w:r>
    </w:p>
    <w:p w:rsidR="000B2DA3" w:rsidRPr="003D0C18" w:rsidRDefault="000B2DA3" w:rsidP="005C5B54">
      <w:pPr>
        <w:spacing w:after="120"/>
        <w:rPr>
          <w:rFonts w:ascii="Arial" w:eastAsia="Times New Roman" w:hAnsi="Arial" w:cs="Arial"/>
          <w:bCs/>
          <w:color w:val="404040" w:themeColor="text1" w:themeTint="BF"/>
          <w:sz w:val="22"/>
        </w:rPr>
      </w:pPr>
    </w:p>
    <w:p w:rsidR="000B2DA3" w:rsidRDefault="000B2DA3" w:rsidP="0078254A">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Please list all Non-Conformities </w:t>
      </w:r>
      <w:r w:rsidR="00950063">
        <w:rPr>
          <w:rFonts w:ascii="Arial" w:eastAsia="Times New Roman" w:hAnsi="Arial" w:cs="Arial"/>
          <w:bCs/>
          <w:color w:val="404040" w:themeColor="text1" w:themeTint="BF"/>
          <w:sz w:val="22"/>
        </w:rPr>
        <w:t xml:space="preserve">(NCs) </w:t>
      </w:r>
      <w:r>
        <w:rPr>
          <w:rFonts w:ascii="Arial" w:eastAsia="Times New Roman" w:hAnsi="Arial" w:cs="Arial"/>
          <w:bCs/>
          <w:color w:val="404040" w:themeColor="text1" w:themeTint="BF"/>
          <w:sz w:val="22"/>
        </w:rPr>
        <w:t>in the table below</w:t>
      </w:r>
      <w:bookmarkEnd w:id="2"/>
    </w:p>
    <w:tbl>
      <w:tblPr>
        <w:tblStyle w:val="TableGrid"/>
        <w:tblW w:w="13603" w:type="dxa"/>
        <w:tblLook w:val="04A0" w:firstRow="1" w:lastRow="0" w:firstColumn="1" w:lastColumn="0" w:noHBand="0" w:noVBand="1"/>
      </w:tblPr>
      <w:tblGrid>
        <w:gridCol w:w="1980"/>
        <w:gridCol w:w="3827"/>
        <w:gridCol w:w="2320"/>
        <w:gridCol w:w="1507"/>
        <w:gridCol w:w="3969"/>
      </w:tblGrid>
      <w:tr w:rsidR="000B2DA3" w:rsidTr="00897D0B">
        <w:trPr>
          <w:trHeight w:val="643"/>
          <w:tblHeader/>
        </w:trPr>
        <w:tc>
          <w:tcPr>
            <w:tcW w:w="1980" w:type="dxa"/>
            <w:shd w:val="clear" w:color="auto" w:fill="D9D9D9" w:themeFill="background1" w:themeFillShade="D9"/>
          </w:tcPr>
          <w:p w:rsidR="000B2DA3" w:rsidRPr="000B2DA3" w:rsidRDefault="000B2DA3" w:rsidP="000B2DA3">
            <w:pPr>
              <w:jc w:val="left"/>
              <w:rPr>
                <w:rFonts w:ascii="Arial" w:eastAsia="Times New Roman" w:hAnsi="Arial" w:cs="Arial"/>
                <w:b/>
                <w:bCs/>
                <w:color w:val="404040" w:themeColor="text1" w:themeTint="BF"/>
                <w:sz w:val="22"/>
              </w:rPr>
            </w:pPr>
            <w:r w:rsidRPr="000B2DA3">
              <w:rPr>
                <w:rFonts w:ascii="Arial" w:eastAsia="Times New Roman" w:hAnsi="Arial" w:cs="Arial"/>
                <w:b/>
                <w:bCs/>
                <w:color w:val="404040" w:themeColor="text1" w:themeTint="BF"/>
                <w:sz w:val="22"/>
              </w:rPr>
              <w:t>C</w:t>
            </w:r>
            <w:r w:rsidR="00950063">
              <w:rPr>
                <w:rFonts w:ascii="Arial" w:eastAsia="Times New Roman" w:hAnsi="Arial" w:cs="Arial"/>
                <w:b/>
                <w:bCs/>
                <w:color w:val="404040" w:themeColor="text1" w:themeTint="BF"/>
                <w:sz w:val="22"/>
              </w:rPr>
              <w:t>hain of Custody R</w:t>
            </w:r>
            <w:r w:rsidRPr="000B2DA3">
              <w:rPr>
                <w:rFonts w:ascii="Arial" w:eastAsia="Times New Roman" w:hAnsi="Arial" w:cs="Arial"/>
                <w:b/>
                <w:bCs/>
                <w:color w:val="404040" w:themeColor="text1" w:themeTint="BF"/>
                <w:sz w:val="22"/>
              </w:rPr>
              <w:t>equirement No.</w:t>
            </w:r>
          </w:p>
        </w:tc>
        <w:tc>
          <w:tcPr>
            <w:tcW w:w="3827" w:type="dxa"/>
            <w:shd w:val="clear" w:color="auto" w:fill="D9D9D9" w:themeFill="background1" w:themeFillShade="D9"/>
          </w:tcPr>
          <w:p w:rsidR="000B2DA3" w:rsidRPr="000B2DA3" w:rsidRDefault="000B2DA3" w:rsidP="000B2DA3">
            <w:pPr>
              <w:jc w:val="left"/>
              <w:rPr>
                <w:rFonts w:ascii="Arial" w:eastAsia="Times New Roman" w:hAnsi="Arial" w:cs="Arial"/>
                <w:b/>
                <w:bCs/>
                <w:color w:val="404040" w:themeColor="text1" w:themeTint="BF"/>
                <w:sz w:val="22"/>
              </w:rPr>
            </w:pPr>
            <w:r w:rsidRPr="000B2DA3">
              <w:rPr>
                <w:rFonts w:ascii="Arial" w:eastAsia="Times New Roman" w:hAnsi="Arial" w:cs="Arial"/>
                <w:b/>
                <w:bCs/>
                <w:color w:val="404040" w:themeColor="text1" w:themeTint="BF"/>
                <w:sz w:val="22"/>
              </w:rPr>
              <w:t>Description of Non-Conformity</w:t>
            </w:r>
          </w:p>
        </w:tc>
        <w:tc>
          <w:tcPr>
            <w:tcW w:w="2320" w:type="dxa"/>
            <w:shd w:val="clear" w:color="auto" w:fill="D9D9D9" w:themeFill="background1" w:themeFillShade="D9"/>
          </w:tcPr>
          <w:p w:rsidR="000B2DA3" w:rsidRPr="000B2DA3" w:rsidRDefault="000B2DA3" w:rsidP="000B2DA3">
            <w:pPr>
              <w:jc w:val="left"/>
              <w:rPr>
                <w:rFonts w:ascii="Arial" w:eastAsia="Times New Roman" w:hAnsi="Arial" w:cs="Arial"/>
                <w:b/>
                <w:bCs/>
                <w:color w:val="404040" w:themeColor="text1" w:themeTint="BF"/>
                <w:sz w:val="22"/>
              </w:rPr>
            </w:pPr>
            <w:r w:rsidRPr="000B2DA3">
              <w:rPr>
                <w:rFonts w:ascii="Arial" w:eastAsia="Times New Roman" w:hAnsi="Arial" w:cs="Arial"/>
                <w:b/>
                <w:bCs/>
                <w:color w:val="404040" w:themeColor="text1" w:themeTint="BF"/>
                <w:sz w:val="22"/>
              </w:rPr>
              <w:t>Grading</w:t>
            </w:r>
          </w:p>
        </w:tc>
        <w:tc>
          <w:tcPr>
            <w:tcW w:w="1507" w:type="dxa"/>
            <w:shd w:val="clear" w:color="auto" w:fill="D9D9D9" w:themeFill="background1" w:themeFillShade="D9"/>
          </w:tcPr>
          <w:p w:rsidR="000B2DA3" w:rsidRPr="000B2DA3" w:rsidRDefault="000B2DA3" w:rsidP="000B2DA3">
            <w:pPr>
              <w:jc w:val="left"/>
              <w:rPr>
                <w:rFonts w:ascii="Arial" w:eastAsia="Times New Roman" w:hAnsi="Arial" w:cs="Arial"/>
                <w:b/>
                <w:bCs/>
                <w:color w:val="404040" w:themeColor="text1" w:themeTint="BF"/>
                <w:sz w:val="22"/>
              </w:rPr>
            </w:pPr>
            <w:r w:rsidRPr="000B2DA3">
              <w:rPr>
                <w:rFonts w:ascii="Arial" w:eastAsia="Times New Roman" w:hAnsi="Arial" w:cs="Arial"/>
                <w:b/>
                <w:bCs/>
                <w:color w:val="404040" w:themeColor="text1" w:themeTint="BF"/>
                <w:sz w:val="22"/>
              </w:rPr>
              <w:t>Deadline to Close NC</w:t>
            </w:r>
            <w:r w:rsidR="007F2254">
              <w:rPr>
                <w:rStyle w:val="FootnoteReference"/>
                <w:rFonts w:ascii="Arial" w:eastAsia="Times New Roman" w:hAnsi="Arial" w:cs="Arial"/>
                <w:b/>
                <w:bCs/>
                <w:color w:val="404040" w:themeColor="text1" w:themeTint="BF"/>
                <w:sz w:val="22"/>
              </w:rPr>
              <w:footnoteReference w:id="1"/>
            </w:r>
          </w:p>
        </w:tc>
        <w:tc>
          <w:tcPr>
            <w:tcW w:w="3969" w:type="dxa"/>
            <w:shd w:val="clear" w:color="auto" w:fill="D9D9D9" w:themeFill="background1" w:themeFillShade="D9"/>
          </w:tcPr>
          <w:p w:rsidR="000B2DA3" w:rsidRPr="000B2DA3" w:rsidRDefault="000B2DA3" w:rsidP="000B2DA3">
            <w:pPr>
              <w:jc w:val="left"/>
              <w:rPr>
                <w:rFonts w:ascii="Arial" w:eastAsia="Times New Roman" w:hAnsi="Arial" w:cs="Arial"/>
                <w:b/>
                <w:bCs/>
                <w:color w:val="404040" w:themeColor="text1" w:themeTint="BF"/>
                <w:sz w:val="22"/>
              </w:rPr>
            </w:pPr>
            <w:r w:rsidRPr="000B2DA3">
              <w:rPr>
                <w:rFonts w:ascii="Arial" w:eastAsia="Times New Roman" w:hAnsi="Arial" w:cs="Arial"/>
                <w:b/>
                <w:bCs/>
                <w:color w:val="404040" w:themeColor="text1" w:themeTint="BF"/>
                <w:sz w:val="22"/>
              </w:rPr>
              <w:t>Comments</w:t>
            </w:r>
          </w:p>
        </w:tc>
      </w:tr>
      <w:tr w:rsidR="0078254A" w:rsidTr="00897D0B">
        <w:tc>
          <w:tcPr>
            <w:tcW w:w="198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232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969"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r>
      <w:tr w:rsidR="0078254A" w:rsidTr="00897D0B">
        <w:tc>
          <w:tcPr>
            <w:tcW w:w="198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8254A" w:rsidTr="00897D0B">
        <w:tc>
          <w:tcPr>
            <w:tcW w:w="198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8254A" w:rsidTr="00897D0B">
        <w:tc>
          <w:tcPr>
            <w:tcW w:w="198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lastRenderedPageBreak/>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8254A" w:rsidTr="00897D0B">
        <w:tc>
          <w:tcPr>
            <w:tcW w:w="198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8254A" w:rsidTr="00897D0B">
        <w:tc>
          <w:tcPr>
            <w:tcW w:w="198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8254A" w:rsidTr="00897D0B">
        <w:tc>
          <w:tcPr>
            <w:tcW w:w="198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8254A" w:rsidRDefault="0078254A" w:rsidP="00950063">
            <w:pPr>
              <w:spacing w:before="80" w:after="80"/>
              <w:jc w:val="left"/>
              <w:rPr>
                <w:rFonts w:ascii="Arial" w:eastAsia="Times New Roman" w:hAnsi="Arial" w:cs="Arial"/>
                <w:bCs/>
                <w:color w:val="404040" w:themeColor="text1" w:themeTint="BF"/>
                <w:sz w:val="22"/>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B28E8" w:rsidTr="00897D0B">
        <w:tc>
          <w:tcPr>
            <w:tcW w:w="198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B28E8" w:rsidTr="00897D0B">
        <w:tc>
          <w:tcPr>
            <w:tcW w:w="198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r w:rsidR="007B28E8" w:rsidTr="00897D0B">
        <w:tc>
          <w:tcPr>
            <w:tcW w:w="198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tc>
        <w:tc>
          <w:tcPr>
            <w:tcW w:w="382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2320" w:type="dxa"/>
            <w:vAlign w:val="center"/>
          </w:tcPr>
          <w:p w:rsidR="007B28E8" w:rsidRPr="003D0C18" w:rsidRDefault="007B28E8" w:rsidP="00950063">
            <w:pPr>
              <w:spacing w:before="80" w:after="80"/>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Minor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FC20DB">
              <w:rPr>
                <w:rFonts w:ascii="Arial" w:eastAsia="Times New Roman" w:hAnsi="Arial" w:cs="Arial"/>
                <w:bCs/>
                <w:color w:val="404040" w:themeColor="text1" w:themeTint="BF"/>
                <w:sz w:val="22"/>
              </w:rPr>
            </w:r>
            <w:r w:rsidR="00FC20D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Pr>
                <w:rFonts w:ascii="Arial" w:eastAsia="Times New Roman" w:hAnsi="Arial" w:cs="Arial"/>
                <w:bCs/>
                <w:color w:val="404040" w:themeColor="text1" w:themeTint="BF"/>
                <w:sz w:val="22"/>
              </w:rPr>
              <w:t xml:space="preserve">  Major</w:t>
            </w:r>
          </w:p>
        </w:tc>
        <w:tc>
          <w:tcPr>
            <w:tcW w:w="1507"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c>
          <w:tcPr>
            <w:tcW w:w="3969" w:type="dxa"/>
            <w:vAlign w:val="center"/>
          </w:tcPr>
          <w:p w:rsidR="007B28E8" w:rsidRPr="007930B9" w:rsidRDefault="007B28E8" w:rsidP="00950063">
            <w:pPr>
              <w:spacing w:before="80" w:after="80"/>
              <w:jc w:val="left"/>
              <w:rPr>
                <w:rFonts w:ascii="Arial" w:eastAsia="Times New Roman" w:hAnsi="Arial" w:cs="Arial"/>
                <w:bCs/>
                <w:color w:val="404040" w:themeColor="text1" w:themeTint="BF"/>
                <w:sz w:val="22"/>
                <w:szCs w:val="28"/>
              </w:rPr>
            </w:pPr>
            <w:r w:rsidRPr="007930B9">
              <w:rPr>
                <w:rFonts w:ascii="Arial" w:eastAsia="Times New Roman" w:hAnsi="Arial" w:cs="Arial"/>
                <w:bCs/>
                <w:color w:val="404040" w:themeColor="text1" w:themeTint="BF"/>
                <w:sz w:val="22"/>
                <w:szCs w:val="28"/>
              </w:rPr>
              <w:fldChar w:fldCharType="begin">
                <w:ffData>
                  <w:name w:val="Text10"/>
                  <w:enabled/>
                  <w:calcOnExit w:val="0"/>
                  <w:textInput/>
                </w:ffData>
              </w:fldChar>
            </w:r>
            <w:r w:rsidRPr="007930B9">
              <w:rPr>
                <w:rFonts w:ascii="Arial" w:eastAsia="Times New Roman" w:hAnsi="Arial" w:cs="Arial"/>
                <w:bCs/>
                <w:color w:val="404040" w:themeColor="text1" w:themeTint="BF"/>
                <w:sz w:val="22"/>
                <w:szCs w:val="28"/>
              </w:rPr>
              <w:instrText xml:space="preserve"> FORMTEXT </w:instrText>
            </w:r>
            <w:r w:rsidRPr="007930B9">
              <w:rPr>
                <w:rFonts w:ascii="Arial" w:eastAsia="Times New Roman" w:hAnsi="Arial" w:cs="Arial"/>
                <w:bCs/>
                <w:color w:val="404040" w:themeColor="text1" w:themeTint="BF"/>
                <w:sz w:val="22"/>
                <w:szCs w:val="28"/>
              </w:rPr>
            </w:r>
            <w:r w:rsidRPr="007930B9">
              <w:rPr>
                <w:rFonts w:ascii="Arial" w:eastAsia="Times New Roman" w:hAnsi="Arial" w:cs="Arial"/>
                <w:bCs/>
                <w:color w:val="404040" w:themeColor="text1" w:themeTint="BF"/>
                <w:sz w:val="22"/>
                <w:szCs w:val="28"/>
              </w:rPr>
              <w:fldChar w:fldCharType="separate"/>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t> </w:t>
            </w:r>
            <w:r w:rsidRPr="007930B9">
              <w:rPr>
                <w:rFonts w:ascii="Arial" w:eastAsia="Times New Roman" w:hAnsi="Arial" w:cs="Arial"/>
                <w:bCs/>
                <w:color w:val="404040" w:themeColor="text1" w:themeTint="BF"/>
                <w:sz w:val="22"/>
                <w:szCs w:val="28"/>
              </w:rPr>
              <w:fldChar w:fldCharType="end"/>
            </w:r>
            <w:r w:rsidRPr="007930B9">
              <w:rPr>
                <w:rFonts w:ascii="Arial" w:eastAsia="Times New Roman" w:hAnsi="Arial" w:cs="Arial"/>
                <w:bCs/>
                <w:color w:val="404040" w:themeColor="text1" w:themeTint="BF"/>
                <w:sz w:val="22"/>
                <w:szCs w:val="28"/>
              </w:rPr>
              <w:t xml:space="preserve"> </w:t>
            </w:r>
          </w:p>
        </w:tc>
      </w:tr>
    </w:tbl>
    <w:p w:rsidR="005C5B54" w:rsidRDefault="005C5B54" w:rsidP="00897D0B">
      <w:pPr>
        <w:ind w:right="-51"/>
        <w:rPr>
          <w:rFonts w:ascii="Arial" w:eastAsia="Times New Roman" w:hAnsi="Arial" w:cs="Arial"/>
          <w:bCs/>
          <w:color w:val="404040" w:themeColor="text1" w:themeTint="BF"/>
          <w:sz w:val="22"/>
        </w:rPr>
        <w:sectPr w:rsidR="005C5B54" w:rsidSect="007B28E8">
          <w:headerReference w:type="default" r:id="rId11"/>
          <w:pgSz w:w="16840" w:h="11900" w:orient="landscape"/>
          <w:pgMar w:top="1520" w:right="1843" w:bottom="1418" w:left="1440" w:header="709" w:footer="357" w:gutter="0"/>
          <w:cols w:space="708"/>
          <w:docGrid w:linePitch="326"/>
        </w:sectPr>
      </w:pPr>
    </w:p>
    <w:p w:rsidR="00902A91" w:rsidRDefault="00987BCF" w:rsidP="000E4752">
      <w:pPr>
        <w:pStyle w:val="Heading1"/>
        <w:spacing w:before="0"/>
      </w:pPr>
      <w:r>
        <w:lastRenderedPageBreak/>
        <w:t>4.</w:t>
      </w:r>
      <w:bookmarkStart w:id="5" w:name="_Hlk517431884"/>
      <w:r>
        <w:t xml:space="preserve">1 </w:t>
      </w:r>
      <w:r w:rsidR="005C5155">
        <w:t>Purchasing of Better Cotton</w:t>
      </w:r>
    </w:p>
    <w:tbl>
      <w:tblPr>
        <w:tblStyle w:val="TableGrid"/>
        <w:tblW w:w="0" w:type="auto"/>
        <w:tblLook w:val="04A0" w:firstRow="1" w:lastRow="0" w:firstColumn="1" w:lastColumn="0" w:noHBand="0" w:noVBand="1"/>
      </w:tblPr>
      <w:tblGrid>
        <w:gridCol w:w="5098"/>
        <w:gridCol w:w="2268"/>
        <w:gridCol w:w="6181"/>
      </w:tblGrid>
      <w:tr w:rsidR="00051A2B" w:rsidTr="00897D0B">
        <w:trPr>
          <w:tblHeader/>
        </w:trPr>
        <w:tc>
          <w:tcPr>
            <w:tcW w:w="5098" w:type="dxa"/>
            <w:tcBorders>
              <w:bottom w:val="single" w:sz="4" w:space="0" w:color="auto"/>
            </w:tcBorders>
            <w:shd w:val="clear" w:color="auto" w:fill="C5E0B3" w:themeFill="accent6" w:themeFillTint="66"/>
            <w:vAlign w:val="center"/>
          </w:tcPr>
          <w:p w:rsidR="00051A2B" w:rsidRPr="00051A2B" w:rsidRDefault="00051A2B" w:rsidP="00051A2B">
            <w:pPr>
              <w:rPr>
                <w:rFonts w:ascii="Arial" w:hAnsi="Arial" w:cs="Arial"/>
                <w:color w:val="404040" w:themeColor="text1" w:themeTint="BF"/>
              </w:rPr>
            </w:pPr>
            <w:r w:rsidRPr="00051A2B">
              <w:rPr>
                <w:rFonts w:ascii="Arial" w:hAnsi="Arial" w:cs="Arial"/>
                <w:b/>
                <w:color w:val="404040" w:themeColor="text1" w:themeTint="BF"/>
                <w:sz w:val="20"/>
              </w:rPr>
              <w:t xml:space="preserve">Requirement </w:t>
            </w:r>
          </w:p>
        </w:tc>
        <w:tc>
          <w:tcPr>
            <w:tcW w:w="2268" w:type="dxa"/>
            <w:shd w:val="clear" w:color="auto" w:fill="C5E0B3" w:themeFill="accent6" w:themeFillTint="66"/>
            <w:vAlign w:val="center"/>
          </w:tcPr>
          <w:p w:rsidR="00051A2B" w:rsidRPr="00051A2B" w:rsidRDefault="00051A2B" w:rsidP="00051A2B">
            <w:pPr>
              <w:rPr>
                <w:rFonts w:ascii="Arial" w:hAnsi="Arial" w:cs="Arial"/>
                <w:color w:val="404040" w:themeColor="text1" w:themeTint="BF"/>
              </w:rPr>
            </w:pPr>
            <w:r w:rsidRPr="00051A2B">
              <w:rPr>
                <w:rFonts w:ascii="Arial" w:hAnsi="Arial" w:cs="Arial"/>
                <w:b/>
                <w:color w:val="404040" w:themeColor="text1" w:themeTint="BF"/>
                <w:sz w:val="20"/>
              </w:rPr>
              <w:t>Grading</w:t>
            </w:r>
          </w:p>
        </w:tc>
        <w:tc>
          <w:tcPr>
            <w:tcW w:w="6181" w:type="dxa"/>
            <w:shd w:val="clear" w:color="auto" w:fill="C5E0B3" w:themeFill="accent6" w:themeFillTint="66"/>
          </w:tcPr>
          <w:p w:rsidR="00051A2B" w:rsidRPr="00051A2B" w:rsidRDefault="00051A2B" w:rsidP="00051A2B">
            <w:pPr>
              <w:rPr>
                <w:rFonts w:ascii="Arial" w:hAnsi="Arial" w:cs="Arial"/>
                <w:color w:val="404040" w:themeColor="text1" w:themeTint="BF"/>
              </w:rPr>
            </w:pPr>
            <w:r w:rsidRPr="00051A2B">
              <w:rPr>
                <w:rFonts w:ascii="Arial" w:hAnsi="Arial" w:cs="Arial"/>
                <w:b/>
                <w:color w:val="404040" w:themeColor="text1" w:themeTint="BF"/>
                <w:sz w:val="20"/>
              </w:rPr>
              <w:t>Comments/ Specific Evidence</w:t>
            </w:r>
          </w:p>
        </w:tc>
      </w:tr>
      <w:tr w:rsidR="00051A2B" w:rsidTr="00897D0B">
        <w:trPr>
          <w:trHeight w:val="1639"/>
        </w:trPr>
        <w:tc>
          <w:tcPr>
            <w:tcW w:w="5098" w:type="dxa"/>
            <w:shd w:val="clear" w:color="auto" w:fill="F2F2F2" w:themeFill="background1" w:themeFillShade="F2"/>
          </w:tcPr>
          <w:p w:rsidR="00051A2B" w:rsidRDefault="00051A2B" w:rsidP="000A3415">
            <w:pPr>
              <w:pStyle w:val="BCIBodyCopy"/>
              <w:spacing w:before="40" w:after="40"/>
              <w:rPr>
                <w:rFonts w:cs="Arial"/>
                <w:color w:val="404040" w:themeColor="text1" w:themeTint="BF"/>
                <w:sz w:val="20"/>
                <w:szCs w:val="20"/>
              </w:rPr>
            </w:pPr>
            <w:r>
              <w:rPr>
                <w:rFonts w:cs="Arial"/>
                <w:b/>
                <w:color w:val="404040" w:themeColor="text1" w:themeTint="BF"/>
                <w:sz w:val="20"/>
                <w:szCs w:val="20"/>
              </w:rPr>
              <w:t xml:space="preserve">4.1.1 </w:t>
            </w:r>
            <w:r w:rsidRPr="005C5155">
              <w:rPr>
                <w:rFonts w:cs="Arial"/>
                <w:color w:val="404040" w:themeColor="text1" w:themeTint="BF"/>
                <w:sz w:val="20"/>
                <w:szCs w:val="20"/>
              </w:rPr>
              <w:t>The gin shall be responsible for ensuring that all Better Cotton purchased can be traced back to licensed BCI farmers</w:t>
            </w:r>
          </w:p>
          <w:p w:rsidR="00051A2B" w:rsidRDefault="00051A2B" w:rsidP="000A3415">
            <w:pPr>
              <w:jc w:val="left"/>
            </w:pPr>
          </w:p>
        </w:tc>
        <w:tc>
          <w:tcPr>
            <w:tcW w:w="2268" w:type="dxa"/>
            <w:shd w:val="clear" w:color="auto" w:fill="FFFFFF" w:themeFill="background1"/>
          </w:tcPr>
          <w:p w:rsidR="00051A2B" w:rsidRPr="00DE2EE0" w:rsidRDefault="00FC378A" w:rsidP="00051A2B">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00051A2B" w:rsidRPr="00DE2EE0">
              <w:rPr>
                <w:rFonts w:ascii="Arial" w:hAnsi="Arial" w:cs="Arial"/>
                <w:color w:val="404040" w:themeColor="text1" w:themeTint="BF"/>
                <w:sz w:val="20"/>
                <w:szCs w:val="20"/>
              </w:rPr>
              <w:t>Compliant</w:t>
            </w:r>
          </w:p>
          <w:p w:rsidR="00051A2B" w:rsidRPr="00DE2EE0" w:rsidRDefault="00FC378A" w:rsidP="00051A2B">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00051A2B" w:rsidRPr="00DE2EE0">
              <w:rPr>
                <w:rFonts w:ascii="Arial" w:hAnsi="Arial" w:cs="Arial"/>
                <w:color w:val="404040" w:themeColor="text1" w:themeTint="BF"/>
                <w:sz w:val="20"/>
                <w:szCs w:val="20"/>
              </w:rPr>
              <w:t>Minor NC</w:t>
            </w:r>
          </w:p>
          <w:p w:rsidR="00051A2B" w:rsidRPr="00AE219A" w:rsidRDefault="00FC378A" w:rsidP="00051A2B">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00051A2B" w:rsidRPr="00DE2EE0">
              <w:rPr>
                <w:rFonts w:ascii="Arial" w:hAnsi="Arial" w:cs="Arial"/>
                <w:color w:val="404040" w:themeColor="text1" w:themeTint="BF"/>
                <w:sz w:val="20"/>
                <w:szCs w:val="20"/>
              </w:rPr>
              <w:t>Major NC</w:t>
            </w:r>
          </w:p>
        </w:tc>
        <w:tc>
          <w:tcPr>
            <w:tcW w:w="6181" w:type="dxa"/>
          </w:tcPr>
          <w:p w:rsidR="00051A2B" w:rsidRDefault="00FC378A" w:rsidP="00051A2B">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051A2B" w:rsidTr="00897D0B">
        <w:trPr>
          <w:trHeight w:val="1501"/>
        </w:trPr>
        <w:tc>
          <w:tcPr>
            <w:tcW w:w="5098" w:type="dxa"/>
            <w:shd w:val="clear" w:color="auto" w:fill="F2F2F2" w:themeFill="background1" w:themeFillShade="F2"/>
          </w:tcPr>
          <w:p w:rsidR="00051A2B" w:rsidRPr="00AE219A" w:rsidRDefault="00051A2B" w:rsidP="00AE219A">
            <w:pPr>
              <w:pStyle w:val="BCIBodyCopy"/>
              <w:spacing w:before="40" w:after="40"/>
              <w:rPr>
                <w:rFonts w:cs="Arial"/>
                <w:bCs/>
                <w:color w:val="404040" w:themeColor="text1" w:themeTint="BF"/>
                <w:sz w:val="20"/>
                <w:szCs w:val="20"/>
              </w:rPr>
            </w:pPr>
            <w:r>
              <w:rPr>
                <w:rFonts w:cs="Arial"/>
                <w:b/>
                <w:bCs/>
                <w:color w:val="404040" w:themeColor="text1" w:themeTint="BF"/>
                <w:sz w:val="20"/>
                <w:szCs w:val="20"/>
              </w:rPr>
              <w:t xml:space="preserve">4.1.2 </w:t>
            </w:r>
            <w:r w:rsidRPr="00987BCF">
              <w:rPr>
                <w:rFonts w:cs="Arial"/>
                <w:bCs/>
                <w:color w:val="404040" w:themeColor="text1" w:themeTint="BF"/>
                <w:sz w:val="20"/>
                <w:szCs w:val="20"/>
              </w:rPr>
              <w:t>The gin shall accurately document its process for procuring Better Cotton and the flow of Better Cotton from farmers to the gin (including the role of middlemen, markets, storage, transport, etc.)</w:t>
            </w:r>
          </w:p>
        </w:tc>
        <w:tc>
          <w:tcPr>
            <w:tcW w:w="2268" w:type="dxa"/>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051A2B" w:rsidRPr="00AE219A" w:rsidRDefault="00FC378A" w:rsidP="00051A2B">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tc>
        <w:tc>
          <w:tcPr>
            <w:tcW w:w="6181" w:type="dxa"/>
          </w:tcPr>
          <w:p w:rsidR="00051A2B" w:rsidRDefault="00FC378A" w:rsidP="00051A2B">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051A2B" w:rsidTr="00897D0B">
        <w:tc>
          <w:tcPr>
            <w:tcW w:w="5098" w:type="dxa"/>
            <w:shd w:val="clear" w:color="auto" w:fill="F2F2F2" w:themeFill="background1" w:themeFillShade="F2"/>
          </w:tcPr>
          <w:p w:rsidR="00051A2B" w:rsidRPr="005C5155" w:rsidRDefault="00051A2B" w:rsidP="000A3415">
            <w:pPr>
              <w:pStyle w:val="BCIBodyCopy"/>
              <w:spacing w:before="40" w:after="40"/>
              <w:rPr>
                <w:rFonts w:cs="Arial"/>
                <w:color w:val="404040" w:themeColor="text1" w:themeTint="BF"/>
                <w:sz w:val="20"/>
                <w:szCs w:val="20"/>
              </w:rPr>
            </w:pPr>
            <w:r>
              <w:rPr>
                <w:rFonts w:cs="Arial"/>
                <w:b/>
                <w:bCs/>
                <w:color w:val="404040" w:themeColor="text1" w:themeTint="BF"/>
                <w:sz w:val="20"/>
                <w:szCs w:val="20"/>
              </w:rPr>
              <w:t xml:space="preserve">4.1.3 </w:t>
            </w:r>
            <w:r w:rsidRPr="00987BCF">
              <w:rPr>
                <w:rFonts w:cs="Arial"/>
                <w:bCs/>
                <w:color w:val="404040" w:themeColor="text1" w:themeTint="BF"/>
                <w:sz w:val="20"/>
                <w:szCs w:val="20"/>
              </w:rPr>
              <w:t>The gin shall keep accurate records of all purchases of Better Cotton, including name of the seller, purchase date, volume, and AAV or farmer code (if purchasing directly from a farmer)</w:t>
            </w:r>
          </w:p>
          <w:p w:rsidR="00051A2B" w:rsidRDefault="00051A2B" w:rsidP="000A3415">
            <w:pPr>
              <w:jc w:val="left"/>
            </w:pPr>
          </w:p>
        </w:tc>
        <w:tc>
          <w:tcPr>
            <w:tcW w:w="2268" w:type="dxa"/>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051A2B" w:rsidRPr="00FC378A" w:rsidRDefault="00FC378A" w:rsidP="00051A2B">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tc>
        <w:tc>
          <w:tcPr>
            <w:tcW w:w="6181" w:type="dxa"/>
          </w:tcPr>
          <w:p w:rsidR="00051A2B" w:rsidRDefault="00FC378A" w:rsidP="00051A2B">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051A2B" w:rsidTr="00897D0B">
        <w:trPr>
          <w:trHeight w:val="3216"/>
        </w:trPr>
        <w:tc>
          <w:tcPr>
            <w:tcW w:w="5098" w:type="dxa"/>
            <w:shd w:val="clear" w:color="auto" w:fill="F2F2F2" w:themeFill="background1" w:themeFillShade="F2"/>
          </w:tcPr>
          <w:p w:rsidR="00051A2B" w:rsidRPr="00051A2B" w:rsidRDefault="00051A2B" w:rsidP="000A3415">
            <w:pPr>
              <w:pStyle w:val="BCIBodyCopy"/>
              <w:spacing w:before="40" w:after="40"/>
              <w:rPr>
                <w:rFonts w:cs="Arial"/>
                <w:bCs/>
                <w:color w:val="404040" w:themeColor="text1" w:themeTint="BF"/>
                <w:sz w:val="20"/>
                <w:szCs w:val="20"/>
              </w:rPr>
            </w:pPr>
            <w:r w:rsidRPr="00EC6194">
              <w:rPr>
                <w:rFonts w:cs="Arial"/>
                <w:b/>
                <w:bCs/>
                <w:color w:val="404040" w:themeColor="text1" w:themeTint="BF"/>
                <w:sz w:val="20"/>
                <w:szCs w:val="20"/>
              </w:rPr>
              <w:t>4.1.4</w:t>
            </w:r>
            <w:r w:rsidRPr="00051A2B">
              <w:rPr>
                <w:rFonts w:cs="Arial"/>
                <w:bCs/>
                <w:color w:val="404040" w:themeColor="text1" w:themeTint="BF"/>
                <w:sz w:val="20"/>
                <w:szCs w:val="20"/>
              </w:rPr>
              <w:t xml:space="preserve"> </w:t>
            </w:r>
            <w:r w:rsidRPr="00987BCF">
              <w:rPr>
                <w:rFonts w:cs="Arial"/>
                <w:bCs/>
                <w:color w:val="404040" w:themeColor="text1" w:themeTint="BF"/>
                <w:sz w:val="20"/>
                <w:szCs w:val="20"/>
              </w:rPr>
              <w:t>If the gin purchases Better Cotton from a market or middleman (rather than a farmer), the ginner shall in addition:</w:t>
            </w:r>
            <w:r w:rsidRPr="00051A2B">
              <w:rPr>
                <w:rFonts w:cs="Arial"/>
                <w:bCs/>
                <w:color w:val="404040" w:themeColor="text1" w:themeTint="BF"/>
                <w:sz w:val="20"/>
                <w:szCs w:val="20"/>
              </w:rPr>
              <w:t xml:space="preserve"> </w:t>
            </w:r>
          </w:p>
          <w:p w:rsidR="00051A2B" w:rsidRPr="00987BCF" w:rsidRDefault="00051A2B" w:rsidP="000A3415">
            <w:pPr>
              <w:pStyle w:val="BCIBodyCopy"/>
              <w:spacing w:before="40" w:after="40"/>
              <w:rPr>
                <w:rFonts w:cs="Arial"/>
                <w:bCs/>
                <w:color w:val="404040" w:themeColor="text1" w:themeTint="BF"/>
                <w:sz w:val="20"/>
                <w:szCs w:val="20"/>
              </w:rPr>
            </w:pPr>
            <w:r w:rsidRPr="00987BCF">
              <w:rPr>
                <w:rFonts w:cs="Arial"/>
                <w:bCs/>
                <w:color w:val="404040" w:themeColor="text1" w:themeTint="BF"/>
                <w:sz w:val="20"/>
                <w:szCs w:val="20"/>
              </w:rPr>
              <w:t>a) Maintain an up-to-date list of the names</w:t>
            </w:r>
            <w:r w:rsidR="00AE219A">
              <w:rPr>
                <w:rFonts w:cs="Arial"/>
                <w:bCs/>
                <w:color w:val="404040" w:themeColor="text1" w:themeTint="BF"/>
                <w:sz w:val="20"/>
                <w:szCs w:val="20"/>
              </w:rPr>
              <w:t>/</w:t>
            </w:r>
            <w:r w:rsidRPr="00987BCF">
              <w:rPr>
                <w:rFonts w:cs="Arial"/>
                <w:bCs/>
                <w:color w:val="404040" w:themeColor="text1" w:themeTint="BF"/>
                <w:sz w:val="20"/>
                <w:szCs w:val="20"/>
              </w:rPr>
              <w:t xml:space="preserve"> contact information for all markets or middlemen from which Better Cotton is purchased</w:t>
            </w:r>
          </w:p>
          <w:p w:rsidR="00051A2B" w:rsidRPr="00987BCF" w:rsidRDefault="00051A2B" w:rsidP="000A3415">
            <w:pPr>
              <w:pStyle w:val="BCIBodyCopy"/>
              <w:spacing w:before="40" w:after="40"/>
              <w:rPr>
                <w:rFonts w:cs="Arial"/>
                <w:bCs/>
                <w:color w:val="404040" w:themeColor="text1" w:themeTint="BF"/>
                <w:sz w:val="20"/>
                <w:szCs w:val="20"/>
              </w:rPr>
            </w:pPr>
            <w:r w:rsidRPr="00987BCF">
              <w:rPr>
                <w:rFonts w:cs="Arial"/>
                <w:bCs/>
                <w:color w:val="404040" w:themeColor="text1" w:themeTint="BF"/>
                <w:sz w:val="20"/>
                <w:szCs w:val="20"/>
              </w:rPr>
              <w:t>b) Ensure that all middlemen have systems in place to keep Better Cotton segregated from conventional cotton and can trace Better Cotton back to licensed farmers</w:t>
            </w:r>
          </w:p>
          <w:p w:rsidR="00051A2B" w:rsidRPr="00051A2B" w:rsidRDefault="00051A2B" w:rsidP="000A3415">
            <w:pPr>
              <w:jc w:val="left"/>
              <w:rPr>
                <w:rFonts w:ascii="Arial" w:eastAsia="MS PGothic" w:hAnsi="Arial" w:cs="Arial"/>
                <w:bCs/>
                <w:color w:val="404040" w:themeColor="text1" w:themeTint="BF"/>
                <w:sz w:val="20"/>
                <w:szCs w:val="20"/>
              </w:rPr>
            </w:pPr>
            <w:r w:rsidRPr="00051A2B">
              <w:rPr>
                <w:rFonts w:ascii="Arial" w:eastAsia="MS PGothic" w:hAnsi="Arial" w:cs="Arial"/>
                <w:bCs/>
                <w:color w:val="404040" w:themeColor="text1" w:themeTint="BF"/>
                <w:sz w:val="20"/>
                <w:szCs w:val="20"/>
              </w:rPr>
              <w:t>c) Obtain from each middleman records of their relevant purchases from licensed BCI farmers, including the farmer name or code, date of purchase, and volume.</w:t>
            </w:r>
          </w:p>
        </w:tc>
        <w:tc>
          <w:tcPr>
            <w:tcW w:w="2268" w:type="dxa"/>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Pr="00DE2EE0"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Pr>
                <w:rFonts w:ascii="Arial" w:hAnsi="Arial" w:cs="Arial"/>
                <w:color w:val="404040" w:themeColor="text1" w:themeTint="BF"/>
                <w:sz w:val="20"/>
                <w:szCs w:val="20"/>
              </w:rPr>
              <w:t>N/A</w:t>
            </w:r>
          </w:p>
          <w:p w:rsidR="00051A2B" w:rsidRDefault="00051A2B" w:rsidP="00051A2B"/>
        </w:tc>
        <w:tc>
          <w:tcPr>
            <w:tcW w:w="6181" w:type="dxa"/>
          </w:tcPr>
          <w:p w:rsidR="00051A2B" w:rsidRDefault="00FC378A" w:rsidP="00051A2B">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051A2B" w:rsidTr="00897D0B">
        <w:tc>
          <w:tcPr>
            <w:tcW w:w="5098" w:type="dxa"/>
            <w:shd w:val="clear" w:color="auto" w:fill="F2F2F2" w:themeFill="background1" w:themeFillShade="F2"/>
          </w:tcPr>
          <w:p w:rsidR="00051A2B" w:rsidRPr="00051A2B" w:rsidRDefault="00051A2B" w:rsidP="000A3415">
            <w:pPr>
              <w:jc w:val="left"/>
              <w:rPr>
                <w:rFonts w:ascii="Arial" w:eastAsia="MS PGothic" w:hAnsi="Arial" w:cs="Arial"/>
                <w:bCs/>
                <w:color w:val="404040" w:themeColor="text1" w:themeTint="BF"/>
                <w:sz w:val="20"/>
                <w:szCs w:val="20"/>
              </w:rPr>
            </w:pPr>
            <w:r w:rsidRPr="0000158E">
              <w:rPr>
                <w:rFonts w:ascii="Arial" w:eastAsia="MS PGothic" w:hAnsi="Arial" w:cs="Arial"/>
                <w:b/>
                <w:bCs/>
                <w:color w:val="404040" w:themeColor="text1" w:themeTint="BF"/>
                <w:sz w:val="20"/>
                <w:szCs w:val="20"/>
              </w:rPr>
              <w:lastRenderedPageBreak/>
              <w:t>4.1.5</w:t>
            </w:r>
            <w:r w:rsidRPr="00051A2B">
              <w:rPr>
                <w:rFonts w:ascii="Arial" w:eastAsia="MS PGothic" w:hAnsi="Arial" w:cs="Arial"/>
                <w:bCs/>
                <w:color w:val="404040" w:themeColor="text1" w:themeTint="BF"/>
                <w:sz w:val="20"/>
                <w:szCs w:val="20"/>
              </w:rPr>
              <w:t xml:space="preserve"> The gin shall provide receipts to farmers where Better Cotton is purchased directly from licensed BCI farmers.</w:t>
            </w:r>
          </w:p>
        </w:tc>
        <w:tc>
          <w:tcPr>
            <w:tcW w:w="2268" w:type="dxa"/>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051A2B" w:rsidRPr="00FC378A" w:rsidRDefault="00FC378A" w:rsidP="00051A2B">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Pr>
                <w:rFonts w:ascii="Arial" w:hAnsi="Arial" w:cs="Arial"/>
                <w:color w:val="404040" w:themeColor="text1" w:themeTint="BF"/>
                <w:sz w:val="20"/>
                <w:szCs w:val="20"/>
              </w:rPr>
              <w:t>N/A</w:t>
            </w:r>
          </w:p>
        </w:tc>
        <w:tc>
          <w:tcPr>
            <w:tcW w:w="6181" w:type="dxa"/>
          </w:tcPr>
          <w:p w:rsidR="00051A2B" w:rsidRDefault="00E62560" w:rsidP="00051A2B">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51A2B" w:rsidRPr="00051A2B" w:rsidRDefault="00051A2B" w:rsidP="00051A2B"/>
    <w:p w:rsidR="00FC378A" w:rsidRDefault="00FC378A">
      <w:pPr>
        <w:spacing w:after="0" w:line="240" w:lineRule="auto"/>
        <w:jc w:val="left"/>
        <w:rPr>
          <w:rFonts w:ascii="Arial" w:eastAsia="MS PGothic" w:hAnsi="Arial" w:cs="Times New Roman"/>
          <w:b/>
          <w:bCs/>
          <w:color w:val="52822F"/>
          <w:sz w:val="32"/>
          <w:szCs w:val="32"/>
        </w:rPr>
      </w:pPr>
      <w:bookmarkStart w:id="6" w:name="_Hlk517432403"/>
      <w:bookmarkEnd w:id="5"/>
      <w:r>
        <w:br w:type="page"/>
      </w:r>
    </w:p>
    <w:p w:rsidR="003940B9" w:rsidRDefault="008A0A85" w:rsidP="00D030B1">
      <w:pPr>
        <w:pStyle w:val="Heading1"/>
        <w:spacing w:before="120"/>
      </w:pPr>
      <w:r>
        <w:lastRenderedPageBreak/>
        <w:t xml:space="preserve">4.2 </w:t>
      </w:r>
      <w:r w:rsidR="00DC76E1" w:rsidRPr="00DC76E1">
        <w:t>Segregation and identification of Better Cotton</w:t>
      </w:r>
    </w:p>
    <w:tbl>
      <w:tblPr>
        <w:tblStyle w:val="TableGrid"/>
        <w:tblW w:w="13547" w:type="dxa"/>
        <w:tblLook w:val="04A0" w:firstRow="1" w:lastRow="0" w:firstColumn="1" w:lastColumn="0" w:noHBand="0" w:noVBand="1"/>
      </w:tblPr>
      <w:tblGrid>
        <w:gridCol w:w="5098"/>
        <w:gridCol w:w="2268"/>
        <w:gridCol w:w="6181"/>
      </w:tblGrid>
      <w:tr w:rsidR="00FC378A" w:rsidTr="00897D0B">
        <w:trPr>
          <w:trHeight w:val="420"/>
          <w:tblHeader/>
        </w:trPr>
        <w:tc>
          <w:tcPr>
            <w:tcW w:w="5098" w:type="dxa"/>
            <w:tcBorders>
              <w:bottom w:val="single" w:sz="4" w:space="0" w:color="auto"/>
            </w:tcBorders>
            <w:shd w:val="clear" w:color="auto" w:fill="C5E0B3" w:themeFill="accent6" w:themeFillTint="66"/>
            <w:vAlign w:val="center"/>
          </w:tcPr>
          <w:p w:rsidR="00FC378A" w:rsidRPr="00051A2B" w:rsidRDefault="00FC378A" w:rsidP="00AE219A">
            <w:pPr>
              <w:spacing w:after="40"/>
              <w:rPr>
                <w:rFonts w:ascii="Arial" w:hAnsi="Arial" w:cs="Arial"/>
                <w:color w:val="404040" w:themeColor="text1" w:themeTint="BF"/>
              </w:rPr>
            </w:pPr>
            <w:r w:rsidRPr="00051A2B">
              <w:rPr>
                <w:rFonts w:ascii="Arial" w:hAnsi="Arial" w:cs="Arial"/>
                <w:b/>
                <w:color w:val="404040" w:themeColor="text1" w:themeTint="BF"/>
                <w:sz w:val="20"/>
              </w:rPr>
              <w:t xml:space="preserve">Requirement </w:t>
            </w:r>
          </w:p>
        </w:tc>
        <w:tc>
          <w:tcPr>
            <w:tcW w:w="2268" w:type="dxa"/>
            <w:shd w:val="clear" w:color="auto" w:fill="C5E0B3" w:themeFill="accent6" w:themeFillTint="66"/>
            <w:vAlign w:val="center"/>
          </w:tcPr>
          <w:p w:rsidR="00FC378A" w:rsidRPr="00051A2B" w:rsidRDefault="00FC378A" w:rsidP="00AE219A">
            <w:pPr>
              <w:spacing w:after="40"/>
              <w:rPr>
                <w:rFonts w:ascii="Arial" w:hAnsi="Arial" w:cs="Arial"/>
                <w:color w:val="404040" w:themeColor="text1" w:themeTint="BF"/>
              </w:rPr>
            </w:pPr>
            <w:r w:rsidRPr="00051A2B">
              <w:rPr>
                <w:rFonts w:ascii="Arial" w:hAnsi="Arial" w:cs="Arial"/>
                <w:b/>
                <w:color w:val="404040" w:themeColor="text1" w:themeTint="BF"/>
                <w:sz w:val="20"/>
              </w:rPr>
              <w:t>Grading</w:t>
            </w:r>
          </w:p>
        </w:tc>
        <w:tc>
          <w:tcPr>
            <w:tcW w:w="6181" w:type="dxa"/>
            <w:shd w:val="clear" w:color="auto" w:fill="C5E0B3" w:themeFill="accent6" w:themeFillTint="66"/>
            <w:vAlign w:val="center"/>
          </w:tcPr>
          <w:p w:rsidR="00FC378A" w:rsidRPr="00051A2B" w:rsidRDefault="00FC378A" w:rsidP="00AE219A">
            <w:pPr>
              <w:spacing w:after="40"/>
              <w:rPr>
                <w:rFonts w:ascii="Arial" w:hAnsi="Arial" w:cs="Arial"/>
                <w:color w:val="404040" w:themeColor="text1" w:themeTint="BF"/>
              </w:rPr>
            </w:pPr>
            <w:r w:rsidRPr="00051A2B">
              <w:rPr>
                <w:rFonts w:ascii="Arial" w:hAnsi="Arial" w:cs="Arial"/>
                <w:b/>
                <w:color w:val="404040" w:themeColor="text1" w:themeTint="BF"/>
                <w:sz w:val="20"/>
              </w:rPr>
              <w:t>Comments/ Specific Evidence</w:t>
            </w:r>
          </w:p>
        </w:tc>
      </w:tr>
      <w:tr w:rsidR="00FC378A" w:rsidTr="00897D0B">
        <w:tc>
          <w:tcPr>
            <w:tcW w:w="5098" w:type="dxa"/>
            <w:shd w:val="clear" w:color="auto" w:fill="F2F2F2" w:themeFill="background1" w:themeFillShade="F2"/>
          </w:tcPr>
          <w:p w:rsidR="00FC378A" w:rsidRDefault="00FC378A" w:rsidP="00FC378A">
            <w:pPr>
              <w:jc w:val="left"/>
            </w:pPr>
            <w:r w:rsidRPr="00FC378A">
              <w:rPr>
                <w:rFonts w:ascii="Arial" w:eastAsia="MS PGothic" w:hAnsi="Arial" w:cs="Arial"/>
                <w:b/>
                <w:color w:val="404040" w:themeColor="text1" w:themeTint="BF"/>
                <w:sz w:val="20"/>
                <w:szCs w:val="20"/>
              </w:rPr>
              <w:t xml:space="preserve">4.2.1 </w:t>
            </w:r>
            <w:r w:rsidRPr="00FC378A">
              <w:rPr>
                <w:rFonts w:ascii="Arial" w:eastAsia="MS PGothic" w:hAnsi="Arial" w:cs="Arial"/>
                <w:color w:val="404040" w:themeColor="text1" w:themeTint="BF"/>
                <w:sz w:val="20"/>
                <w:szCs w:val="20"/>
              </w:rPr>
              <w:t>The gin shall have a system in place to ensure that Better Cotton is segregated from other (conventional) cotton and is clearly identified at every stage of purchase, storage, processing, transport, and handling.</w:t>
            </w:r>
          </w:p>
        </w:tc>
        <w:tc>
          <w:tcPr>
            <w:tcW w:w="2268" w:type="dxa"/>
            <w:shd w:val="clear" w:color="auto" w:fill="FFFFFF" w:themeFill="background1"/>
          </w:tcPr>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40905">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Default="00FC378A" w:rsidP="00F40905"/>
        </w:tc>
        <w:tc>
          <w:tcPr>
            <w:tcW w:w="6181" w:type="dxa"/>
          </w:tcPr>
          <w:p w:rsidR="00FC378A" w:rsidRDefault="00FC378A" w:rsidP="00F40905">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C378A" w:rsidTr="00897D0B">
        <w:tc>
          <w:tcPr>
            <w:tcW w:w="5098" w:type="dxa"/>
            <w:shd w:val="clear" w:color="auto" w:fill="F2F2F2" w:themeFill="background1" w:themeFillShade="F2"/>
          </w:tcPr>
          <w:p w:rsidR="00FC378A" w:rsidRPr="00FC378A" w:rsidRDefault="00FC378A" w:rsidP="00FC378A">
            <w:pPr>
              <w:jc w:val="left"/>
            </w:pPr>
            <w:r w:rsidRPr="00FC378A">
              <w:rPr>
                <w:rFonts w:ascii="Arial" w:eastAsia="MS PGothic" w:hAnsi="Arial" w:cs="Arial"/>
                <w:b/>
                <w:bCs/>
                <w:color w:val="404040" w:themeColor="text1" w:themeTint="BF"/>
                <w:sz w:val="20"/>
                <w:szCs w:val="20"/>
              </w:rPr>
              <w:t>4.2.2</w:t>
            </w:r>
            <w:r w:rsidRPr="00FC378A">
              <w:rPr>
                <w:rFonts w:ascii="Arial" w:eastAsia="MS PGothic" w:hAnsi="Arial" w:cs="Arial"/>
                <w:bCs/>
                <w:color w:val="404040" w:themeColor="text1" w:themeTint="BF"/>
                <w:sz w:val="20"/>
                <w:szCs w:val="20"/>
              </w:rPr>
              <w:t xml:space="preserve"> The gin shall ensure that all staff or workers handling Better Cotton are aware of the system for segregating and identifying Better Cotton </w:t>
            </w:r>
          </w:p>
        </w:tc>
        <w:tc>
          <w:tcPr>
            <w:tcW w:w="2268" w:type="dxa"/>
          </w:tcPr>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40905">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Default="00FC378A" w:rsidP="00F40905"/>
        </w:tc>
        <w:tc>
          <w:tcPr>
            <w:tcW w:w="6181" w:type="dxa"/>
          </w:tcPr>
          <w:p w:rsidR="00FC378A" w:rsidRDefault="00FC378A" w:rsidP="00F40905">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C378A" w:rsidTr="00897D0B">
        <w:trPr>
          <w:trHeight w:val="2053"/>
        </w:trPr>
        <w:tc>
          <w:tcPr>
            <w:tcW w:w="5098" w:type="dxa"/>
            <w:shd w:val="clear" w:color="auto" w:fill="F2F2F2" w:themeFill="background1" w:themeFillShade="F2"/>
          </w:tcPr>
          <w:p w:rsidR="00FC378A" w:rsidRDefault="00FC378A" w:rsidP="00FC378A">
            <w:pPr>
              <w:jc w:val="left"/>
            </w:pPr>
            <w:r w:rsidRPr="00FC378A">
              <w:rPr>
                <w:rFonts w:ascii="Arial" w:eastAsia="MS PGothic" w:hAnsi="Arial" w:cs="Arial"/>
                <w:b/>
                <w:color w:val="404040" w:themeColor="text1" w:themeTint="BF"/>
                <w:sz w:val="20"/>
                <w:szCs w:val="20"/>
              </w:rPr>
              <w:t>4.2.3</w:t>
            </w:r>
            <w:r w:rsidRPr="00FC378A">
              <w:rPr>
                <w:rFonts w:ascii="Arial" w:eastAsia="MS PGothic" w:hAnsi="Arial" w:cs="Arial"/>
                <w:color w:val="404040" w:themeColor="text1" w:themeTint="BF"/>
                <w:sz w:val="20"/>
                <w:szCs w:val="20"/>
              </w:rPr>
              <w:t xml:space="preserve"> The gin shall ensure that all Better Cotton bales sold can be clearly identified as Better Cotton</w:t>
            </w:r>
          </w:p>
        </w:tc>
        <w:tc>
          <w:tcPr>
            <w:tcW w:w="2268" w:type="dxa"/>
          </w:tcPr>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40905">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40905">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Default="00FC378A" w:rsidP="00F40905"/>
        </w:tc>
        <w:tc>
          <w:tcPr>
            <w:tcW w:w="6181" w:type="dxa"/>
          </w:tcPr>
          <w:p w:rsidR="00FC378A" w:rsidRDefault="00FC378A" w:rsidP="00F40905">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3940B9" w:rsidRPr="003940B9" w:rsidRDefault="003940B9" w:rsidP="003940B9">
      <w:pPr>
        <w:sectPr w:rsidR="003940B9" w:rsidRPr="003940B9" w:rsidSect="00762C93">
          <w:headerReference w:type="default" r:id="rId12"/>
          <w:pgSz w:w="16840" w:h="11900" w:orient="landscape"/>
          <w:pgMar w:top="1135" w:right="1843" w:bottom="680" w:left="1440" w:header="708" w:footer="63" w:gutter="0"/>
          <w:cols w:space="708"/>
          <w:docGrid w:linePitch="326"/>
        </w:sectPr>
      </w:pPr>
    </w:p>
    <w:bookmarkEnd w:id="6"/>
    <w:p w:rsidR="00D030B1" w:rsidRDefault="008A0A85" w:rsidP="00D030B1">
      <w:pPr>
        <w:pStyle w:val="Heading1"/>
        <w:spacing w:before="120"/>
      </w:pPr>
      <w:r>
        <w:lastRenderedPageBreak/>
        <w:t xml:space="preserve">4.3 </w:t>
      </w:r>
      <w:r w:rsidR="00DC76E1" w:rsidRPr="00DC76E1">
        <w:t>Responsibilities, training and record-keeping</w:t>
      </w:r>
    </w:p>
    <w:tbl>
      <w:tblPr>
        <w:tblStyle w:val="TableGrid"/>
        <w:tblW w:w="13603" w:type="dxa"/>
        <w:tblLayout w:type="fixed"/>
        <w:tblLook w:val="04A0" w:firstRow="1" w:lastRow="0" w:firstColumn="1" w:lastColumn="0" w:noHBand="0" w:noVBand="1"/>
      </w:tblPr>
      <w:tblGrid>
        <w:gridCol w:w="5098"/>
        <w:gridCol w:w="2268"/>
        <w:gridCol w:w="6237"/>
      </w:tblGrid>
      <w:tr w:rsidR="00FC378A" w:rsidRPr="0023780D" w:rsidTr="00897D0B">
        <w:trPr>
          <w:trHeight w:val="274"/>
          <w:tblHeader/>
        </w:trPr>
        <w:tc>
          <w:tcPr>
            <w:tcW w:w="5098" w:type="dxa"/>
            <w:shd w:val="clear" w:color="auto" w:fill="C5E0B3" w:themeFill="accent6" w:themeFillTint="66"/>
            <w:vAlign w:val="center"/>
          </w:tcPr>
          <w:p w:rsidR="00FC378A" w:rsidRPr="0023780D" w:rsidRDefault="00FC378A" w:rsidP="00FC378A">
            <w:pPr>
              <w:pStyle w:val="BCIBodyCopy"/>
              <w:spacing w:before="40" w:after="40"/>
              <w:rPr>
                <w:rFonts w:cs="Arial"/>
                <w:b/>
                <w:sz w:val="20"/>
                <w:szCs w:val="20"/>
              </w:rPr>
            </w:pPr>
            <w:r>
              <w:rPr>
                <w:b/>
                <w:sz w:val="20"/>
              </w:rPr>
              <w:t>Requirement</w:t>
            </w:r>
          </w:p>
        </w:tc>
        <w:tc>
          <w:tcPr>
            <w:tcW w:w="2268" w:type="dxa"/>
            <w:shd w:val="clear" w:color="auto" w:fill="C5E0B3" w:themeFill="accent6" w:themeFillTint="66"/>
            <w:vAlign w:val="center"/>
          </w:tcPr>
          <w:p w:rsidR="00FC378A" w:rsidRPr="0023780D" w:rsidRDefault="00FC378A" w:rsidP="00FC378A">
            <w:pPr>
              <w:pStyle w:val="BCIBodyCopy"/>
              <w:spacing w:before="40" w:after="40"/>
              <w:rPr>
                <w:rFonts w:cs="Arial"/>
                <w:b/>
                <w:sz w:val="20"/>
                <w:szCs w:val="20"/>
              </w:rPr>
            </w:pPr>
            <w:r w:rsidRPr="00051A2B">
              <w:rPr>
                <w:rFonts w:cs="Arial"/>
                <w:b/>
                <w:color w:val="404040" w:themeColor="text1" w:themeTint="BF"/>
                <w:sz w:val="20"/>
              </w:rPr>
              <w:t>Grading</w:t>
            </w:r>
          </w:p>
        </w:tc>
        <w:tc>
          <w:tcPr>
            <w:tcW w:w="6237" w:type="dxa"/>
            <w:shd w:val="clear" w:color="auto" w:fill="C5E0B3" w:themeFill="accent6" w:themeFillTint="66"/>
          </w:tcPr>
          <w:p w:rsidR="00FC378A" w:rsidRDefault="00FC378A" w:rsidP="00FC378A">
            <w:pPr>
              <w:pStyle w:val="BCIBodyCopy"/>
              <w:spacing w:before="40" w:after="40"/>
              <w:rPr>
                <w:rFonts w:cs="Arial"/>
                <w:b/>
                <w:sz w:val="20"/>
                <w:szCs w:val="20"/>
              </w:rPr>
            </w:pPr>
            <w:r w:rsidRPr="00051A2B">
              <w:rPr>
                <w:rFonts w:cs="Arial"/>
                <w:b/>
                <w:color w:val="404040" w:themeColor="text1" w:themeTint="BF"/>
                <w:sz w:val="20"/>
              </w:rPr>
              <w:t>Comments/ Specific Evidence</w:t>
            </w:r>
          </w:p>
        </w:tc>
      </w:tr>
      <w:tr w:rsidR="00FC378A" w:rsidRPr="0023780D" w:rsidTr="00897D0B">
        <w:trPr>
          <w:trHeight w:val="1523"/>
        </w:trPr>
        <w:tc>
          <w:tcPr>
            <w:tcW w:w="5098" w:type="dxa"/>
            <w:shd w:val="clear" w:color="auto" w:fill="F2F2F2" w:themeFill="background1" w:themeFillShade="F2"/>
          </w:tcPr>
          <w:p w:rsidR="00FC378A" w:rsidRPr="0089107B" w:rsidRDefault="00FC378A" w:rsidP="00FC378A">
            <w:pPr>
              <w:pStyle w:val="BCIBodyCopy"/>
              <w:spacing w:before="40" w:after="40"/>
              <w:rPr>
                <w:rFonts w:cs="Arial"/>
                <w:b/>
                <w:bCs/>
                <w:i/>
                <w:color w:val="404040" w:themeColor="text1" w:themeTint="BF"/>
                <w:sz w:val="20"/>
                <w:szCs w:val="20"/>
              </w:rPr>
            </w:pPr>
            <w:r w:rsidRPr="008A0A85">
              <w:rPr>
                <w:rFonts w:cs="Arial"/>
                <w:b/>
                <w:bCs/>
                <w:iCs/>
                <w:color w:val="404040" w:themeColor="text1" w:themeTint="BF"/>
                <w:sz w:val="20"/>
                <w:szCs w:val="20"/>
              </w:rPr>
              <w:t>4.3.1</w:t>
            </w:r>
            <w:r>
              <w:rPr>
                <w:rFonts w:cs="Arial"/>
                <w:b/>
                <w:bCs/>
                <w:i/>
                <w:iCs/>
                <w:color w:val="404040" w:themeColor="text1" w:themeTint="BF"/>
                <w:sz w:val="20"/>
                <w:szCs w:val="20"/>
              </w:rPr>
              <w:t xml:space="preserve"> </w:t>
            </w:r>
            <w:r w:rsidRPr="008A0A85">
              <w:rPr>
                <w:rFonts w:cs="Arial"/>
                <w:bCs/>
                <w:iCs/>
                <w:color w:val="404040" w:themeColor="text1" w:themeTint="BF"/>
                <w:sz w:val="20"/>
                <w:szCs w:val="20"/>
              </w:rPr>
              <w:t>The gin shall appoint a designated representative(s) responsible for ensuring compliance with the relevant BCI Chain of Custody Guidelines and recording relevant data on the Better Cotton Platform (BCP)</w:t>
            </w:r>
          </w:p>
        </w:tc>
        <w:tc>
          <w:tcPr>
            <w:tcW w:w="2268" w:type="dxa"/>
            <w:shd w:val="clear" w:color="auto" w:fill="auto"/>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Pr="00945695" w:rsidRDefault="00FC378A" w:rsidP="00FC378A">
            <w:pPr>
              <w:pStyle w:val="BCIBodyCopy"/>
              <w:spacing w:before="40" w:after="40"/>
              <w:rPr>
                <w:rFonts w:cs="Arial"/>
                <w:color w:val="404040" w:themeColor="text1" w:themeTint="BF"/>
                <w:sz w:val="20"/>
                <w:szCs w:val="20"/>
              </w:rPr>
            </w:pPr>
          </w:p>
        </w:tc>
        <w:tc>
          <w:tcPr>
            <w:tcW w:w="6237" w:type="dxa"/>
          </w:tcPr>
          <w:p w:rsidR="00FC378A" w:rsidRPr="007074C4" w:rsidRDefault="00FC378A" w:rsidP="00FC378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C378A" w:rsidRPr="0023780D" w:rsidTr="00897D0B">
        <w:trPr>
          <w:trHeight w:val="1844"/>
        </w:trPr>
        <w:tc>
          <w:tcPr>
            <w:tcW w:w="5098" w:type="dxa"/>
            <w:shd w:val="clear" w:color="auto" w:fill="F2F2F2" w:themeFill="background1" w:themeFillShade="F2"/>
          </w:tcPr>
          <w:p w:rsidR="00FC378A" w:rsidRDefault="00FC378A" w:rsidP="00FC378A">
            <w:pPr>
              <w:pStyle w:val="BCIBodyCopy"/>
              <w:spacing w:before="40" w:after="40"/>
              <w:rPr>
                <w:rFonts w:cs="Arial"/>
                <w:color w:val="404040" w:themeColor="text1" w:themeTint="BF"/>
                <w:sz w:val="20"/>
                <w:szCs w:val="20"/>
              </w:rPr>
            </w:pPr>
            <w:r w:rsidRPr="00DC76E1">
              <w:rPr>
                <w:rFonts w:cs="Arial"/>
                <w:b/>
                <w:bCs/>
                <w:iCs/>
                <w:color w:val="404040" w:themeColor="text1" w:themeTint="BF"/>
                <w:sz w:val="20"/>
                <w:szCs w:val="20"/>
              </w:rPr>
              <w:t>4.3.2</w:t>
            </w:r>
            <w:r>
              <w:rPr>
                <w:rFonts w:cs="Arial"/>
                <w:b/>
                <w:bCs/>
                <w:i/>
                <w:iCs/>
                <w:color w:val="404040" w:themeColor="text1" w:themeTint="BF"/>
                <w:sz w:val="20"/>
                <w:szCs w:val="20"/>
              </w:rPr>
              <w:t xml:space="preserve"> </w:t>
            </w:r>
            <w:r w:rsidRPr="00DC76E1">
              <w:rPr>
                <w:rFonts w:cs="Arial"/>
                <w:bCs/>
                <w:iCs/>
                <w:color w:val="404040" w:themeColor="text1" w:themeTint="BF"/>
                <w:sz w:val="20"/>
                <w:szCs w:val="20"/>
              </w:rPr>
              <w:t>The gin shall ensure that all individuals responsible for handling Better Cotton, using the BCP, and maintaining associated records are trained and competent to fulfil BCI requirements</w:t>
            </w:r>
            <w:r w:rsidRPr="0089107B">
              <w:rPr>
                <w:rFonts w:cs="Arial"/>
                <w:color w:val="404040" w:themeColor="text1" w:themeTint="BF"/>
                <w:sz w:val="20"/>
                <w:szCs w:val="20"/>
              </w:rPr>
              <w:t xml:space="preserve"> </w:t>
            </w:r>
          </w:p>
          <w:p w:rsidR="00FC378A" w:rsidRPr="0089107B" w:rsidRDefault="00FC378A" w:rsidP="00FC378A">
            <w:pPr>
              <w:pStyle w:val="BCIBodyCopy"/>
              <w:spacing w:before="40" w:after="40"/>
              <w:rPr>
                <w:rFonts w:cs="Arial"/>
                <w:color w:val="404040" w:themeColor="text1" w:themeTint="BF"/>
                <w:sz w:val="20"/>
                <w:szCs w:val="20"/>
              </w:rPr>
            </w:pPr>
            <w:r w:rsidRPr="00DC76E1">
              <w:rPr>
                <w:rFonts w:cs="Arial"/>
                <w:color w:val="404040" w:themeColor="text1" w:themeTint="BF"/>
                <w:sz w:val="20"/>
                <w:szCs w:val="20"/>
              </w:rPr>
              <w:t>a) All individuals responsible for using the BCP shall complete the mandatory BCI training on the BCP</w:t>
            </w:r>
          </w:p>
        </w:tc>
        <w:tc>
          <w:tcPr>
            <w:tcW w:w="2268" w:type="dxa"/>
            <w:shd w:val="clear" w:color="auto" w:fill="auto"/>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Pr="00945695" w:rsidRDefault="00FC378A" w:rsidP="00FC378A">
            <w:pPr>
              <w:pStyle w:val="BCIBodyCopy"/>
              <w:spacing w:before="40" w:after="40"/>
              <w:rPr>
                <w:rFonts w:cs="Arial"/>
                <w:color w:val="404040" w:themeColor="text1" w:themeTint="BF"/>
                <w:sz w:val="20"/>
                <w:szCs w:val="20"/>
              </w:rPr>
            </w:pPr>
          </w:p>
        </w:tc>
        <w:tc>
          <w:tcPr>
            <w:tcW w:w="6237" w:type="dxa"/>
          </w:tcPr>
          <w:p w:rsidR="00FC378A" w:rsidRPr="007074C4" w:rsidRDefault="00FC378A" w:rsidP="00FC378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C378A" w:rsidRPr="0023780D" w:rsidTr="00897D0B">
        <w:trPr>
          <w:trHeight w:val="1969"/>
        </w:trPr>
        <w:tc>
          <w:tcPr>
            <w:tcW w:w="5098" w:type="dxa"/>
            <w:shd w:val="clear" w:color="auto" w:fill="F2F2F2" w:themeFill="background1" w:themeFillShade="F2"/>
          </w:tcPr>
          <w:p w:rsidR="00FC378A" w:rsidRPr="00DC76E1" w:rsidRDefault="00FC378A" w:rsidP="00FC378A">
            <w:pPr>
              <w:pStyle w:val="BCIBodyCopy"/>
              <w:spacing w:before="40" w:after="40"/>
              <w:rPr>
                <w:rFonts w:cs="Arial"/>
                <w:bCs/>
                <w:iCs/>
                <w:color w:val="404040" w:themeColor="text1" w:themeTint="BF"/>
                <w:sz w:val="20"/>
                <w:szCs w:val="20"/>
              </w:rPr>
            </w:pPr>
            <w:r w:rsidRPr="00DC76E1">
              <w:rPr>
                <w:rFonts w:cs="Arial"/>
                <w:b/>
                <w:bCs/>
                <w:iCs/>
                <w:color w:val="404040" w:themeColor="text1" w:themeTint="BF"/>
                <w:sz w:val="20"/>
                <w:szCs w:val="20"/>
              </w:rPr>
              <w:t>4.3.3</w:t>
            </w:r>
            <w:r>
              <w:rPr>
                <w:rFonts w:cs="Arial"/>
                <w:b/>
                <w:bCs/>
                <w:i/>
                <w:iCs/>
                <w:color w:val="404040" w:themeColor="text1" w:themeTint="BF"/>
                <w:sz w:val="20"/>
                <w:szCs w:val="20"/>
              </w:rPr>
              <w:t xml:space="preserve"> </w:t>
            </w:r>
            <w:r w:rsidRPr="00DC76E1">
              <w:rPr>
                <w:rFonts w:cs="Arial"/>
                <w:bCs/>
                <w:iCs/>
                <w:color w:val="404040" w:themeColor="text1" w:themeTint="BF"/>
                <w:sz w:val="20"/>
                <w:szCs w:val="20"/>
              </w:rPr>
              <w:t>The gin shall maintain all documents and records related to the purchase, handling, and sale of Better Cotton for a minimum period of two years.</w:t>
            </w:r>
          </w:p>
          <w:p w:rsidR="00FC378A" w:rsidRPr="0089107B" w:rsidRDefault="00FC378A" w:rsidP="00FC378A">
            <w:pPr>
              <w:pStyle w:val="BCIBodyCopy"/>
              <w:spacing w:before="40" w:after="40"/>
              <w:rPr>
                <w:rFonts w:cs="Arial"/>
                <w:b/>
                <w:bCs/>
                <w:i/>
                <w:iCs/>
                <w:color w:val="404040" w:themeColor="text1" w:themeTint="BF"/>
                <w:sz w:val="20"/>
                <w:szCs w:val="20"/>
              </w:rPr>
            </w:pPr>
            <w:r w:rsidRPr="00DC76E1">
              <w:rPr>
                <w:rFonts w:cs="Arial"/>
                <w:bCs/>
                <w:iCs/>
                <w:color w:val="404040" w:themeColor="text1" w:themeTint="BF"/>
                <w:sz w:val="20"/>
                <w:szCs w:val="20"/>
              </w:rPr>
              <w:t>a) The gin shall ensure that all documents are available for review by BCI or third-party auditors upon request.</w:t>
            </w:r>
          </w:p>
        </w:tc>
        <w:tc>
          <w:tcPr>
            <w:tcW w:w="2268" w:type="dxa"/>
            <w:shd w:val="clear" w:color="auto" w:fill="auto"/>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Pr="00DE2EE0"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Pr="00945695" w:rsidRDefault="00FC378A" w:rsidP="00FC378A">
            <w:pPr>
              <w:pStyle w:val="BCIBodyCopy"/>
              <w:spacing w:before="40" w:after="40"/>
              <w:rPr>
                <w:rFonts w:cs="Arial"/>
                <w:color w:val="404040" w:themeColor="text1" w:themeTint="BF"/>
                <w:sz w:val="20"/>
                <w:szCs w:val="20"/>
              </w:rPr>
            </w:pPr>
          </w:p>
        </w:tc>
        <w:tc>
          <w:tcPr>
            <w:tcW w:w="6237" w:type="dxa"/>
          </w:tcPr>
          <w:p w:rsidR="00FC378A" w:rsidRPr="007074C4" w:rsidRDefault="00FC378A" w:rsidP="00FC378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C378A" w:rsidRPr="0023780D" w:rsidTr="00897D0B">
        <w:trPr>
          <w:trHeight w:val="2112"/>
        </w:trPr>
        <w:tc>
          <w:tcPr>
            <w:tcW w:w="5098" w:type="dxa"/>
            <w:shd w:val="clear" w:color="auto" w:fill="F2F2F2" w:themeFill="background1" w:themeFillShade="F2"/>
          </w:tcPr>
          <w:p w:rsidR="00FC378A" w:rsidRDefault="00FC378A" w:rsidP="00FC378A">
            <w:pPr>
              <w:pStyle w:val="BCIBodyCopy"/>
              <w:spacing w:before="40" w:after="40"/>
              <w:rPr>
                <w:rFonts w:cs="Arial"/>
                <w:b/>
                <w:bCs/>
                <w:i/>
                <w:iCs/>
                <w:color w:val="404040" w:themeColor="text1" w:themeTint="BF"/>
                <w:sz w:val="20"/>
                <w:szCs w:val="20"/>
              </w:rPr>
            </w:pPr>
            <w:r w:rsidRPr="00DC76E1">
              <w:rPr>
                <w:rFonts w:cs="Arial"/>
                <w:b/>
                <w:bCs/>
                <w:iCs/>
                <w:color w:val="404040" w:themeColor="text1" w:themeTint="BF"/>
                <w:sz w:val="20"/>
                <w:szCs w:val="20"/>
              </w:rPr>
              <w:t>4.3.4</w:t>
            </w:r>
            <w:r>
              <w:rPr>
                <w:rFonts w:cs="Arial"/>
                <w:b/>
                <w:bCs/>
                <w:i/>
                <w:iCs/>
                <w:color w:val="404040" w:themeColor="text1" w:themeTint="BF"/>
                <w:sz w:val="20"/>
                <w:szCs w:val="20"/>
              </w:rPr>
              <w:t xml:space="preserve"> </w:t>
            </w:r>
            <w:r w:rsidRPr="00DC76E1">
              <w:rPr>
                <w:rFonts w:cs="Arial"/>
                <w:bCs/>
                <w:iCs/>
                <w:color w:val="404040" w:themeColor="text1" w:themeTint="BF"/>
                <w:sz w:val="20"/>
                <w:szCs w:val="20"/>
              </w:rPr>
              <w:t>The gin shall communicate any changes in BCI contact names, procurement processes, or outsourcing arrangements to BCI in writing or email within 15 days of the change occurring</w:t>
            </w:r>
          </w:p>
        </w:tc>
        <w:tc>
          <w:tcPr>
            <w:tcW w:w="2268" w:type="dxa"/>
            <w:shd w:val="clear" w:color="auto" w:fill="auto"/>
          </w:tcPr>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FC378A" w:rsidRPr="00DE2EE0" w:rsidRDefault="00FC378A" w:rsidP="00FC378A">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FC378A" w:rsidRDefault="00FC378A" w:rsidP="00FC378A">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FC378A" w:rsidRPr="00FC378A" w:rsidRDefault="00DA7670" w:rsidP="00891239">
            <w:pPr>
              <w:rPr>
                <w:rFonts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Pr>
                <w:rFonts w:ascii="Arial" w:hAnsi="Arial" w:cs="Arial"/>
                <w:color w:val="404040" w:themeColor="text1" w:themeTint="BF"/>
                <w:sz w:val="20"/>
                <w:szCs w:val="20"/>
              </w:rPr>
              <w:t>N/A</w:t>
            </w:r>
          </w:p>
        </w:tc>
        <w:tc>
          <w:tcPr>
            <w:tcW w:w="6237" w:type="dxa"/>
          </w:tcPr>
          <w:p w:rsidR="00FC378A" w:rsidRPr="007074C4" w:rsidRDefault="00FC378A" w:rsidP="00FC378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D030B1">
      <w:pPr>
        <w:sectPr w:rsidR="00000D91" w:rsidSect="00C3590A">
          <w:headerReference w:type="default" r:id="rId13"/>
          <w:pgSz w:w="16840" w:h="11900" w:orient="landscape"/>
          <w:pgMar w:top="1800" w:right="1843" w:bottom="680" w:left="1440" w:header="708" w:footer="357" w:gutter="0"/>
          <w:cols w:space="708"/>
          <w:docGrid w:linePitch="326"/>
        </w:sectPr>
      </w:pPr>
    </w:p>
    <w:p w:rsidR="00000D91" w:rsidRDefault="008A0A85" w:rsidP="00000D91">
      <w:pPr>
        <w:pStyle w:val="Heading1"/>
        <w:spacing w:before="120"/>
      </w:pPr>
      <w:bookmarkStart w:id="7" w:name="_Hlk517433134"/>
      <w:r>
        <w:lastRenderedPageBreak/>
        <w:t xml:space="preserve">4.4 </w:t>
      </w:r>
      <w:r w:rsidR="00DC76E1">
        <w:t>Use of the Better Cotton Platform</w:t>
      </w:r>
      <w:r w:rsidR="00000D91">
        <w:t xml:space="preserve"> </w:t>
      </w:r>
      <w:r w:rsidR="00000D91">
        <w:tab/>
      </w:r>
    </w:p>
    <w:tbl>
      <w:tblPr>
        <w:tblStyle w:val="TableGrid"/>
        <w:tblW w:w="13603" w:type="dxa"/>
        <w:tblLayout w:type="fixed"/>
        <w:tblLook w:val="04A0" w:firstRow="1" w:lastRow="0" w:firstColumn="1" w:lastColumn="0" w:noHBand="0" w:noVBand="1"/>
      </w:tblPr>
      <w:tblGrid>
        <w:gridCol w:w="5098"/>
        <w:gridCol w:w="2268"/>
        <w:gridCol w:w="6237"/>
      </w:tblGrid>
      <w:tr w:rsidR="00632639" w:rsidRPr="0023780D" w:rsidTr="00897D0B">
        <w:trPr>
          <w:trHeight w:val="274"/>
          <w:tblHeader/>
        </w:trPr>
        <w:tc>
          <w:tcPr>
            <w:tcW w:w="5098" w:type="dxa"/>
            <w:shd w:val="clear" w:color="auto" w:fill="C5E0B3" w:themeFill="accent6" w:themeFillTint="66"/>
            <w:vAlign w:val="center"/>
          </w:tcPr>
          <w:p w:rsidR="00632639" w:rsidRPr="00F660E8" w:rsidRDefault="00632639" w:rsidP="00632639">
            <w:pPr>
              <w:pStyle w:val="BCIBodyCopy"/>
              <w:spacing w:before="40" w:after="40"/>
              <w:rPr>
                <w:rFonts w:cs="Arial"/>
                <w:b/>
                <w:sz w:val="28"/>
                <w:szCs w:val="20"/>
              </w:rPr>
            </w:pPr>
            <w:r>
              <w:rPr>
                <w:b/>
                <w:sz w:val="20"/>
              </w:rPr>
              <w:t xml:space="preserve">Requirement </w:t>
            </w:r>
          </w:p>
        </w:tc>
        <w:tc>
          <w:tcPr>
            <w:tcW w:w="2268" w:type="dxa"/>
            <w:shd w:val="clear" w:color="auto" w:fill="C5E0B3" w:themeFill="accent6" w:themeFillTint="66"/>
            <w:vAlign w:val="center"/>
          </w:tcPr>
          <w:p w:rsidR="00632639" w:rsidRPr="00F660E8" w:rsidRDefault="00632639" w:rsidP="00632639">
            <w:pPr>
              <w:pStyle w:val="BCIBodyCopy"/>
              <w:spacing w:before="40" w:after="40"/>
              <w:rPr>
                <w:rFonts w:cs="Arial"/>
                <w:b/>
                <w:sz w:val="28"/>
                <w:szCs w:val="20"/>
              </w:rPr>
            </w:pPr>
            <w:r w:rsidRPr="00051A2B">
              <w:rPr>
                <w:rFonts w:cs="Arial"/>
                <w:b/>
                <w:color w:val="404040" w:themeColor="text1" w:themeTint="BF"/>
                <w:sz w:val="20"/>
              </w:rPr>
              <w:t>Grading</w:t>
            </w:r>
          </w:p>
        </w:tc>
        <w:tc>
          <w:tcPr>
            <w:tcW w:w="6237" w:type="dxa"/>
            <w:shd w:val="clear" w:color="auto" w:fill="C5E0B3" w:themeFill="accent6" w:themeFillTint="66"/>
          </w:tcPr>
          <w:p w:rsidR="00632639" w:rsidRPr="00F660E8" w:rsidRDefault="00632639" w:rsidP="00632639">
            <w:pPr>
              <w:pStyle w:val="BCIBodyCopy"/>
              <w:spacing w:before="40" w:after="40"/>
              <w:rPr>
                <w:rFonts w:cs="Arial"/>
                <w:b/>
                <w:sz w:val="28"/>
                <w:szCs w:val="20"/>
              </w:rPr>
            </w:pPr>
            <w:r w:rsidRPr="00051A2B">
              <w:rPr>
                <w:rFonts w:cs="Arial"/>
                <w:b/>
                <w:color w:val="404040" w:themeColor="text1" w:themeTint="BF"/>
                <w:sz w:val="20"/>
              </w:rPr>
              <w:t>Comments/ Specific Evidence</w:t>
            </w:r>
          </w:p>
        </w:tc>
      </w:tr>
      <w:tr w:rsidR="009F7888" w:rsidRPr="0023780D" w:rsidTr="00897D0B">
        <w:trPr>
          <w:trHeight w:val="1226"/>
        </w:trPr>
        <w:tc>
          <w:tcPr>
            <w:tcW w:w="5098" w:type="dxa"/>
            <w:shd w:val="clear" w:color="auto" w:fill="F2F2F2" w:themeFill="background1" w:themeFillShade="F2"/>
          </w:tcPr>
          <w:p w:rsidR="009F7888" w:rsidRPr="00DC76E1" w:rsidRDefault="009F7888" w:rsidP="009F7888">
            <w:pPr>
              <w:pStyle w:val="BCIBodyCopy"/>
              <w:spacing w:before="40" w:after="40"/>
              <w:rPr>
                <w:rFonts w:cs="Arial"/>
                <w:bCs/>
                <w:color w:val="404040" w:themeColor="text1" w:themeTint="BF"/>
                <w:sz w:val="20"/>
                <w:szCs w:val="20"/>
              </w:rPr>
            </w:pPr>
            <w:r w:rsidRPr="00DC76E1">
              <w:rPr>
                <w:rFonts w:cs="Arial"/>
                <w:b/>
                <w:bCs/>
                <w:color w:val="404040" w:themeColor="text1" w:themeTint="BF"/>
                <w:sz w:val="20"/>
                <w:szCs w:val="20"/>
              </w:rPr>
              <w:t>4.4.1</w:t>
            </w:r>
            <w:r>
              <w:rPr>
                <w:rFonts w:cs="Arial"/>
                <w:bCs/>
                <w:color w:val="404040" w:themeColor="text1" w:themeTint="BF"/>
                <w:sz w:val="20"/>
                <w:szCs w:val="20"/>
              </w:rPr>
              <w:t xml:space="preserve"> </w:t>
            </w:r>
            <w:r w:rsidRPr="00DC76E1">
              <w:rPr>
                <w:rFonts w:cs="Arial"/>
                <w:bCs/>
                <w:color w:val="404040" w:themeColor="text1" w:themeTint="BF"/>
                <w:sz w:val="20"/>
                <w:szCs w:val="20"/>
              </w:rPr>
              <w:t>The gin shall enter all purchases and lint production, and enter (or acknowledge) all sale transactions for Better Cotton into the BCP, within 30 calendar days of the transaction date</w:t>
            </w:r>
          </w:p>
        </w:tc>
        <w:tc>
          <w:tcPr>
            <w:tcW w:w="2268" w:type="dxa"/>
          </w:tcPr>
          <w:p w:rsidR="009F7888" w:rsidRPr="00DE2EE0" w:rsidRDefault="009F7888" w:rsidP="009F7888">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9F7888" w:rsidRPr="00DE2EE0" w:rsidRDefault="009F7888" w:rsidP="009F7888">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9F7888" w:rsidRPr="00DE2EE0" w:rsidRDefault="009F7888" w:rsidP="009F7888">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9F7888" w:rsidRPr="004505DE" w:rsidRDefault="009F7888" w:rsidP="009F7888">
            <w:pPr>
              <w:pStyle w:val="BCIBodyCopy"/>
              <w:spacing w:before="40" w:after="40"/>
              <w:rPr>
                <w:rFonts w:cs="Arial"/>
                <w:color w:val="404040" w:themeColor="text1" w:themeTint="BF"/>
                <w:sz w:val="20"/>
                <w:szCs w:val="20"/>
              </w:rPr>
            </w:pPr>
          </w:p>
        </w:tc>
        <w:tc>
          <w:tcPr>
            <w:tcW w:w="6237" w:type="dxa"/>
            <w:shd w:val="clear" w:color="auto" w:fill="auto"/>
          </w:tcPr>
          <w:p w:rsidR="009F7888" w:rsidRPr="004505DE" w:rsidRDefault="009F7888" w:rsidP="009F788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9F7888" w:rsidRPr="0023780D" w:rsidTr="00897D0B">
        <w:trPr>
          <w:trHeight w:val="1263"/>
        </w:trPr>
        <w:tc>
          <w:tcPr>
            <w:tcW w:w="5098" w:type="dxa"/>
            <w:shd w:val="clear" w:color="auto" w:fill="F2F2F2" w:themeFill="background1" w:themeFillShade="F2"/>
          </w:tcPr>
          <w:p w:rsidR="009F7888" w:rsidRPr="004505DE" w:rsidRDefault="009F7888" w:rsidP="009F7888">
            <w:pPr>
              <w:pStyle w:val="BCIBodyCopy"/>
              <w:spacing w:before="40" w:after="40"/>
              <w:rPr>
                <w:rFonts w:cs="Arial"/>
                <w:color w:val="404040" w:themeColor="text1" w:themeTint="BF"/>
                <w:sz w:val="20"/>
                <w:szCs w:val="20"/>
              </w:rPr>
            </w:pPr>
            <w:r w:rsidRPr="00DC76E1">
              <w:rPr>
                <w:rFonts w:cs="Arial"/>
                <w:b/>
                <w:color w:val="404040" w:themeColor="text1" w:themeTint="BF"/>
                <w:sz w:val="20"/>
                <w:szCs w:val="20"/>
              </w:rPr>
              <w:t>4.4.2</w:t>
            </w:r>
            <w:r>
              <w:rPr>
                <w:rFonts w:cs="Arial"/>
                <w:color w:val="404040" w:themeColor="text1" w:themeTint="BF"/>
                <w:sz w:val="20"/>
                <w:szCs w:val="20"/>
              </w:rPr>
              <w:t xml:space="preserve"> </w:t>
            </w:r>
            <w:r w:rsidRPr="00DC76E1">
              <w:rPr>
                <w:rFonts w:cs="Arial"/>
                <w:color w:val="404040" w:themeColor="text1" w:themeTint="BF"/>
                <w:sz w:val="20"/>
                <w:szCs w:val="20"/>
              </w:rPr>
              <w:t>The gin shall only enter or acknowledge transactions in the BCP if they correspond to a genuine purchase or sale of physical Better Cotton</w:t>
            </w:r>
          </w:p>
        </w:tc>
        <w:tc>
          <w:tcPr>
            <w:tcW w:w="2268" w:type="dxa"/>
          </w:tcPr>
          <w:p w:rsidR="009F7888" w:rsidRPr="00DE2EE0" w:rsidRDefault="009F7888" w:rsidP="009F7888">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9F7888" w:rsidRPr="00DE2EE0" w:rsidRDefault="009F7888" w:rsidP="009F7888">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9F7888" w:rsidRPr="00DE2EE0" w:rsidRDefault="009F7888" w:rsidP="009F7888">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9F7888" w:rsidRPr="004505DE" w:rsidRDefault="009F7888" w:rsidP="009F7888">
            <w:pPr>
              <w:pStyle w:val="BCIBodyCopy"/>
              <w:spacing w:before="40" w:after="40"/>
              <w:rPr>
                <w:rFonts w:cs="Arial"/>
                <w:color w:val="404040" w:themeColor="text1" w:themeTint="BF"/>
                <w:sz w:val="20"/>
                <w:szCs w:val="20"/>
              </w:rPr>
            </w:pPr>
          </w:p>
        </w:tc>
        <w:tc>
          <w:tcPr>
            <w:tcW w:w="6237" w:type="dxa"/>
            <w:shd w:val="clear" w:color="auto" w:fill="auto"/>
          </w:tcPr>
          <w:p w:rsidR="009F7888" w:rsidRPr="004505DE" w:rsidRDefault="009F7888" w:rsidP="009F788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632639" w:rsidRPr="0023780D" w:rsidTr="00897D0B">
        <w:trPr>
          <w:trHeight w:val="2192"/>
        </w:trPr>
        <w:tc>
          <w:tcPr>
            <w:tcW w:w="5098" w:type="dxa"/>
            <w:shd w:val="clear" w:color="auto" w:fill="F2F2F2" w:themeFill="background1" w:themeFillShade="F2"/>
          </w:tcPr>
          <w:p w:rsidR="00632639" w:rsidRDefault="00632639" w:rsidP="00632639">
            <w:pPr>
              <w:pStyle w:val="BCIBodyCopy"/>
              <w:spacing w:before="40" w:after="40"/>
              <w:rPr>
                <w:rFonts w:cs="Arial"/>
                <w:color w:val="404040" w:themeColor="text1" w:themeTint="BF"/>
                <w:sz w:val="20"/>
                <w:szCs w:val="20"/>
              </w:rPr>
            </w:pPr>
            <w:r>
              <w:rPr>
                <w:rFonts w:cs="Arial"/>
                <w:b/>
                <w:color w:val="404040" w:themeColor="text1" w:themeTint="BF"/>
                <w:sz w:val="20"/>
                <w:szCs w:val="20"/>
              </w:rPr>
              <w:t xml:space="preserve">4.4.3 </w:t>
            </w:r>
            <w:r w:rsidRPr="00DC76E1">
              <w:rPr>
                <w:rFonts w:cs="Arial"/>
                <w:color w:val="404040" w:themeColor="text1" w:themeTint="BF"/>
                <w:sz w:val="20"/>
                <w:szCs w:val="20"/>
              </w:rPr>
              <w:t>The gin shall ensure that all data entered into the BCP is accurate and can be verified against corresponding documentation (i.e. purchase receipt, invoice, production records):</w:t>
            </w:r>
          </w:p>
          <w:p w:rsidR="00632639" w:rsidRDefault="00632639" w:rsidP="00632639">
            <w:pPr>
              <w:pStyle w:val="BCIBodyCopy"/>
              <w:numPr>
                <w:ilvl w:val="0"/>
                <w:numId w:val="3"/>
              </w:numPr>
              <w:spacing w:before="40" w:after="40"/>
              <w:ind w:left="447" w:hanging="390"/>
              <w:rPr>
                <w:rFonts w:cs="Arial"/>
                <w:color w:val="404040" w:themeColor="text1" w:themeTint="BF"/>
                <w:sz w:val="20"/>
                <w:szCs w:val="20"/>
              </w:rPr>
            </w:pPr>
            <w:r w:rsidRPr="00DC76E1">
              <w:rPr>
                <w:rFonts w:cs="Arial"/>
                <w:color w:val="404040" w:themeColor="text1" w:themeTint="BF"/>
                <w:sz w:val="20"/>
                <w:szCs w:val="20"/>
              </w:rPr>
              <w:t>For each purchase of Better Cotton, the gin shall enter the corresponding purchase date or date range into the BCP</w:t>
            </w:r>
          </w:p>
          <w:p w:rsidR="00632639" w:rsidRPr="00632639" w:rsidRDefault="00632639" w:rsidP="00632639">
            <w:pPr>
              <w:pStyle w:val="BCIBodyCopy"/>
              <w:numPr>
                <w:ilvl w:val="0"/>
                <w:numId w:val="3"/>
              </w:numPr>
              <w:spacing w:before="40" w:after="40"/>
              <w:ind w:left="447" w:hanging="425"/>
              <w:rPr>
                <w:rFonts w:cs="Arial"/>
                <w:color w:val="404040" w:themeColor="text1" w:themeTint="BF"/>
                <w:sz w:val="20"/>
                <w:szCs w:val="20"/>
              </w:rPr>
            </w:pPr>
            <w:r w:rsidRPr="00632639">
              <w:rPr>
                <w:rFonts w:cs="Arial"/>
                <w:color w:val="404040" w:themeColor="text1" w:themeTint="BF"/>
                <w:sz w:val="20"/>
                <w:szCs w:val="20"/>
              </w:rPr>
              <w:t xml:space="preserve">For each sale of Better Cotton, the gin shall enter a valid transaction reference number(s) corresponding to either the invoice or shipping documents  </w:t>
            </w:r>
          </w:p>
        </w:tc>
        <w:tc>
          <w:tcPr>
            <w:tcW w:w="2268" w:type="dxa"/>
          </w:tcPr>
          <w:p w:rsidR="00632639" w:rsidRPr="00DE2EE0" w:rsidRDefault="00632639"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32639" w:rsidRPr="00DE2EE0" w:rsidRDefault="00632639"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32639" w:rsidRPr="00DE2EE0" w:rsidRDefault="00632639"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632639" w:rsidRPr="00C134E5" w:rsidRDefault="00632639" w:rsidP="00632639">
            <w:pPr>
              <w:rPr>
                <w:rFonts w:ascii="Arial" w:eastAsia="Times New Roman" w:hAnsi="Arial" w:cs="Arial"/>
                <w:color w:val="404040" w:themeColor="text1" w:themeTint="BF"/>
                <w:sz w:val="20"/>
                <w:szCs w:val="18"/>
              </w:rPr>
            </w:pPr>
          </w:p>
        </w:tc>
        <w:tc>
          <w:tcPr>
            <w:tcW w:w="6237" w:type="dxa"/>
            <w:shd w:val="clear" w:color="auto" w:fill="auto"/>
          </w:tcPr>
          <w:p w:rsidR="00632639" w:rsidRPr="003D0C18" w:rsidRDefault="00632639" w:rsidP="00632639">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632639" w:rsidRPr="0023780D" w:rsidTr="00897D0B">
        <w:trPr>
          <w:trHeight w:val="1510"/>
        </w:trPr>
        <w:tc>
          <w:tcPr>
            <w:tcW w:w="5098" w:type="dxa"/>
            <w:shd w:val="clear" w:color="auto" w:fill="F2F2F2" w:themeFill="background1" w:themeFillShade="F2"/>
          </w:tcPr>
          <w:p w:rsidR="00632639" w:rsidRPr="004505DE" w:rsidRDefault="00632639" w:rsidP="00632639">
            <w:pPr>
              <w:pStyle w:val="BCIBodyCopy"/>
              <w:spacing w:before="40" w:after="40"/>
              <w:rPr>
                <w:rFonts w:cs="Arial"/>
                <w:b/>
                <w:bCs/>
                <w:i/>
                <w:iCs/>
                <w:color w:val="404040" w:themeColor="text1" w:themeTint="BF"/>
                <w:sz w:val="20"/>
                <w:szCs w:val="20"/>
              </w:rPr>
            </w:pPr>
            <w:r w:rsidRPr="00DC76E1">
              <w:rPr>
                <w:rFonts w:cs="Arial"/>
                <w:b/>
                <w:bCs/>
                <w:iCs/>
                <w:color w:val="404040" w:themeColor="text1" w:themeTint="BF"/>
                <w:sz w:val="20"/>
                <w:szCs w:val="20"/>
              </w:rPr>
              <w:t>4.4.4</w:t>
            </w:r>
            <w:r>
              <w:rPr>
                <w:rFonts w:cs="Arial"/>
                <w:b/>
                <w:bCs/>
                <w:i/>
                <w:iCs/>
                <w:color w:val="404040" w:themeColor="text1" w:themeTint="BF"/>
                <w:sz w:val="20"/>
                <w:szCs w:val="20"/>
              </w:rPr>
              <w:t xml:space="preserve"> </w:t>
            </w:r>
            <w:r w:rsidRPr="00DC76E1">
              <w:rPr>
                <w:rFonts w:cs="Arial"/>
                <w:bCs/>
                <w:iCs/>
                <w:color w:val="404040" w:themeColor="text1" w:themeTint="BF"/>
                <w:sz w:val="20"/>
                <w:szCs w:val="20"/>
              </w:rPr>
              <w:t>If requested to provide an average ginner turnout ratio, the gin shall ensure that this ratio (volume of lint produced for a given volume of seed cotton processed, expressed in percentage) is accurately calculated and can be verified through documentation.</w:t>
            </w:r>
          </w:p>
        </w:tc>
        <w:tc>
          <w:tcPr>
            <w:tcW w:w="2268" w:type="dxa"/>
          </w:tcPr>
          <w:p w:rsidR="00632639" w:rsidRPr="00DE2EE0" w:rsidRDefault="00632639"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32639" w:rsidRPr="00DE2EE0" w:rsidRDefault="00632639"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32639" w:rsidRDefault="00632639"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632639" w:rsidRPr="00632639" w:rsidRDefault="00632639"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Pr>
                <w:rFonts w:ascii="Arial" w:hAnsi="Arial" w:cs="Arial"/>
                <w:color w:val="404040" w:themeColor="text1" w:themeTint="BF"/>
                <w:sz w:val="20"/>
                <w:szCs w:val="20"/>
              </w:rPr>
              <w:t>N/A</w:t>
            </w:r>
          </w:p>
        </w:tc>
        <w:tc>
          <w:tcPr>
            <w:tcW w:w="6237" w:type="dxa"/>
            <w:shd w:val="clear" w:color="auto" w:fill="auto"/>
          </w:tcPr>
          <w:p w:rsidR="00632639" w:rsidRPr="004505DE" w:rsidRDefault="00632639" w:rsidP="0063263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000D91">
      <w:pPr>
        <w:sectPr w:rsidR="00000D91" w:rsidSect="00632639">
          <w:headerReference w:type="default" r:id="rId14"/>
          <w:pgSz w:w="16840" w:h="11900" w:orient="landscape"/>
          <w:pgMar w:top="1134" w:right="1843" w:bottom="680" w:left="1440" w:header="708" w:footer="357" w:gutter="0"/>
          <w:cols w:space="708"/>
          <w:docGrid w:linePitch="326"/>
        </w:sectPr>
      </w:pPr>
    </w:p>
    <w:bookmarkEnd w:id="7"/>
    <w:p w:rsidR="00653992" w:rsidRDefault="00487756" w:rsidP="000E4752">
      <w:pPr>
        <w:pStyle w:val="Heading1"/>
        <w:spacing w:before="120"/>
      </w:pPr>
      <w:r>
        <w:lastRenderedPageBreak/>
        <w:t>4.</w:t>
      </w:r>
      <w:r w:rsidR="007F2254">
        <w:t>6</w:t>
      </w:r>
      <w:r>
        <w:t xml:space="preserve"> </w:t>
      </w:r>
      <w:r w:rsidR="00632639">
        <w:t xml:space="preserve">– 4.7 </w:t>
      </w:r>
      <w:r w:rsidR="00653992">
        <w:t xml:space="preserve">Other Chain of Custody Requirements </w:t>
      </w:r>
    </w:p>
    <w:p w:rsidR="00000D91" w:rsidRDefault="00653992" w:rsidP="009645EC">
      <w:pPr>
        <w:pStyle w:val="BCIBodyCopy"/>
      </w:pPr>
      <w:r>
        <w:t>This</w:t>
      </w:r>
      <w:r w:rsidR="00DC76E1">
        <w:t xml:space="preserve"> </w:t>
      </w:r>
      <w:r w:rsidR="009645EC">
        <w:t xml:space="preserve">section includes relevant requirements from section </w:t>
      </w:r>
      <w:r w:rsidR="00632639">
        <w:t xml:space="preserve">4.6 (Subcontractors) and 4.7 (Supply Chain Monitoring and Penalties). Note that requirements may not be applicable to all gins; in this case just tick ‘N/A’ and </w:t>
      </w:r>
      <w:r w:rsidR="00AE219A">
        <w:t xml:space="preserve">the </w:t>
      </w:r>
      <w:r w:rsidR="00632639">
        <w:t>comment field can be left blank.</w:t>
      </w:r>
    </w:p>
    <w:p w:rsidR="009645EC" w:rsidRPr="00D030B1" w:rsidRDefault="009645EC" w:rsidP="009645EC">
      <w:pPr>
        <w:pStyle w:val="BCIBodyCopy"/>
      </w:pPr>
    </w:p>
    <w:tbl>
      <w:tblPr>
        <w:tblStyle w:val="TableGrid"/>
        <w:tblW w:w="13603" w:type="dxa"/>
        <w:tblLayout w:type="fixed"/>
        <w:tblLook w:val="04A0" w:firstRow="1" w:lastRow="0" w:firstColumn="1" w:lastColumn="0" w:noHBand="0" w:noVBand="1"/>
      </w:tblPr>
      <w:tblGrid>
        <w:gridCol w:w="5098"/>
        <w:gridCol w:w="2268"/>
        <w:gridCol w:w="6237"/>
      </w:tblGrid>
      <w:tr w:rsidR="004A4149" w:rsidRPr="0023780D" w:rsidTr="00897D0B">
        <w:trPr>
          <w:trHeight w:val="274"/>
          <w:tblHeader/>
        </w:trPr>
        <w:tc>
          <w:tcPr>
            <w:tcW w:w="5098" w:type="dxa"/>
            <w:shd w:val="clear" w:color="auto" w:fill="C5E0B3" w:themeFill="accent6" w:themeFillTint="66"/>
          </w:tcPr>
          <w:p w:rsidR="004A4149" w:rsidRPr="0023780D" w:rsidRDefault="00632639" w:rsidP="001A4C6A">
            <w:pPr>
              <w:pStyle w:val="BCIBodyCopy"/>
              <w:spacing w:before="40" w:after="40"/>
              <w:rPr>
                <w:b/>
                <w:sz w:val="20"/>
                <w:szCs w:val="20"/>
              </w:rPr>
            </w:pPr>
            <w:bookmarkStart w:id="8" w:name="_Hlk520112355"/>
            <w:r>
              <w:rPr>
                <w:b/>
                <w:sz w:val="20"/>
                <w:szCs w:val="20"/>
              </w:rPr>
              <w:t>Requirement</w:t>
            </w:r>
          </w:p>
        </w:tc>
        <w:tc>
          <w:tcPr>
            <w:tcW w:w="2268" w:type="dxa"/>
            <w:shd w:val="clear" w:color="auto" w:fill="C5E0B3" w:themeFill="accent6" w:themeFillTint="66"/>
          </w:tcPr>
          <w:p w:rsidR="004A4149" w:rsidRPr="0023780D" w:rsidRDefault="004A4149"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4A4149" w:rsidRDefault="004A4149" w:rsidP="001A4C6A">
            <w:pPr>
              <w:pStyle w:val="BCIBodyCopy"/>
              <w:spacing w:before="40" w:after="40"/>
              <w:rPr>
                <w:b/>
                <w:sz w:val="20"/>
                <w:szCs w:val="20"/>
              </w:rPr>
            </w:pPr>
            <w:r>
              <w:rPr>
                <w:b/>
                <w:sz w:val="20"/>
                <w:szCs w:val="20"/>
              </w:rPr>
              <w:t>Specific Evidence/ Comments</w:t>
            </w:r>
          </w:p>
        </w:tc>
      </w:tr>
      <w:bookmarkEnd w:id="8"/>
      <w:tr w:rsidR="003709E4" w:rsidRPr="0023780D" w:rsidTr="00897D0B">
        <w:trPr>
          <w:trHeight w:val="1760"/>
        </w:trPr>
        <w:tc>
          <w:tcPr>
            <w:tcW w:w="5098" w:type="dxa"/>
            <w:shd w:val="clear" w:color="auto" w:fill="F2F2F2" w:themeFill="background1" w:themeFillShade="F2"/>
          </w:tcPr>
          <w:p w:rsidR="003709E4" w:rsidRDefault="003709E4" w:rsidP="00632639">
            <w:pPr>
              <w:pStyle w:val="BCIBodyCopy"/>
              <w:spacing w:before="40" w:after="40"/>
              <w:rPr>
                <w:rFonts w:cs="Arial"/>
                <w:color w:val="404040" w:themeColor="text1" w:themeTint="BF"/>
                <w:sz w:val="20"/>
                <w:szCs w:val="20"/>
              </w:rPr>
            </w:pPr>
            <w:r w:rsidRPr="00632639">
              <w:rPr>
                <w:rFonts w:cs="Arial"/>
                <w:b/>
                <w:color w:val="404040" w:themeColor="text1" w:themeTint="BF"/>
                <w:sz w:val="20"/>
                <w:szCs w:val="20"/>
              </w:rPr>
              <w:t>4.6.1</w:t>
            </w:r>
            <w:r>
              <w:rPr>
                <w:rFonts w:cs="Arial"/>
                <w:color w:val="404040" w:themeColor="text1" w:themeTint="BF"/>
                <w:sz w:val="20"/>
                <w:szCs w:val="20"/>
              </w:rPr>
              <w:t xml:space="preserve"> </w:t>
            </w:r>
            <w:r w:rsidRPr="00987BCF">
              <w:rPr>
                <w:rFonts w:cs="Arial"/>
                <w:color w:val="404040" w:themeColor="text1" w:themeTint="BF"/>
                <w:sz w:val="20"/>
                <w:szCs w:val="20"/>
              </w:rPr>
              <w:t>If the gin outsources any handling of Better Cotton (excluding transportation) to a subcontractor or independent organisation, the gin shall:</w:t>
            </w:r>
          </w:p>
          <w:p w:rsidR="003709E4" w:rsidRDefault="003709E4" w:rsidP="00632639">
            <w:pPr>
              <w:pStyle w:val="BCIBodyCopy"/>
              <w:numPr>
                <w:ilvl w:val="0"/>
                <w:numId w:val="45"/>
              </w:numPr>
              <w:spacing w:before="40" w:after="40"/>
              <w:rPr>
                <w:rFonts w:cs="Arial"/>
                <w:color w:val="404040" w:themeColor="text1" w:themeTint="BF"/>
                <w:sz w:val="20"/>
                <w:szCs w:val="20"/>
              </w:rPr>
            </w:pPr>
            <w:r w:rsidRPr="00987BCF">
              <w:rPr>
                <w:rFonts w:cs="Arial"/>
                <w:color w:val="404040" w:themeColor="text1" w:themeTint="BF"/>
                <w:sz w:val="20"/>
                <w:szCs w:val="20"/>
              </w:rPr>
              <w:t>Document the nature of this outsourcing agreement, including the names, addresses, and contact details of any subcontractors, and share with BCI in writing</w:t>
            </w:r>
          </w:p>
          <w:p w:rsidR="003709E4" w:rsidRPr="00632639" w:rsidRDefault="003709E4" w:rsidP="00632639">
            <w:pPr>
              <w:pStyle w:val="BCIBodyCopy"/>
              <w:numPr>
                <w:ilvl w:val="0"/>
                <w:numId w:val="45"/>
              </w:numPr>
              <w:spacing w:before="40" w:after="40"/>
              <w:rPr>
                <w:rFonts w:cs="Arial"/>
                <w:b/>
                <w:bCs/>
                <w:color w:val="404040" w:themeColor="text1" w:themeTint="BF"/>
                <w:sz w:val="20"/>
                <w:szCs w:val="20"/>
              </w:rPr>
            </w:pPr>
            <w:r w:rsidRPr="00987BCF">
              <w:rPr>
                <w:rFonts w:cs="Arial"/>
                <w:color w:val="404040" w:themeColor="text1" w:themeTint="BF"/>
                <w:sz w:val="20"/>
                <w:szCs w:val="20"/>
              </w:rPr>
              <w:t>Ensure that only the gin (not subcontractors) have access to the Better Cotton Platform and are responsible for entering data into the system</w:t>
            </w:r>
          </w:p>
          <w:p w:rsidR="003709E4" w:rsidRPr="00632639" w:rsidRDefault="003709E4" w:rsidP="00632639">
            <w:pPr>
              <w:pStyle w:val="BCIBodyCopy"/>
              <w:numPr>
                <w:ilvl w:val="0"/>
                <w:numId w:val="45"/>
              </w:numPr>
              <w:spacing w:before="40" w:after="40"/>
              <w:rPr>
                <w:rFonts w:cs="Arial"/>
                <w:b/>
                <w:bCs/>
                <w:color w:val="404040" w:themeColor="text1" w:themeTint="BF"/>
                <w:sz w:val="20"/>
                <w:szCs w:val="20"/>
              </w:rPr>
            </w:pPr>
            <w:r w:rsidRPr="00987BCF">
              <w:rPr>
                <w:rFonts w:cs="Arial"/>
                <w:color w:val="404040" w:themeColor="text1" w:themeTint="BF"/>
                <w:sz w:val="20"/>
                <w:szCs w:val="20"/>
              </w:rPr>
              <w:t xml:space="preserve">c) Require all subcontractors buying, selling, or handling Better Cotton to sign a declaration agreeing to comply with relevant BCI </w:t>
            </w:r>
            <w:r>
              <w:rPr>
                <w:rFonts w:cs="Arial"/>
                <w:color w:val="404040" w:themeColor="text1" w:themeTint="BF"/>
                <w:sz w:val="20"/>
                <w:szCs w:val="20"/>
              </w:rPr>
              <w:t>CoC</w:t>
            </w:r>
            <w:r w:rsidRPr="00987BCF">
              <w:rPr>
                <w:rFonts w:cs="Arial"/>
                <w:color w:val="404040" w:themeColor="text1" w:themeTint="BF"/>
                <w:sz w:val="20"/>
                <w:szCs w:val="20"/>
              </w:rPr>
              <w:t xml:space="preserve"> requirements and to provide access to their premises and records for any BCI staff or third-party auditors.</w:t>
            </w:r>
          </w:p>
          <w:p w:rsidR="003709E4" w:rsidRDefault="003709E4" w:rsidP="00632639">
            <w:pPr>
              <w:pStyle w:val="BCIBodyCopy"/>
              <w:numPr>
                <w:ilvl w:val="0"/>
                <w:numId w:val="45"/>
              </w:numPr>
              <w:spacing w:before="40" w:after="40"/>
              <w:rPr>
                <w:rFonts w:cs="Arial"/>
                <w:b/>
                <w:bCs/>
                <w:color w:val="404040" w:themeColor="text1" w:themeTint="BF"/>
                <w:sz w:val="20"/>
                <w:szCs w:val="20"/>
              </w:rPr>
            </w:pPr>
            <w:r w:rsidRPr="00987BCF">
              <w:rPr>
                <w:rFonts w:cs="Arial"/>
                <w:color w:val="404040" w:themeColor="text1" w:themeTint="BF"/>
                <w:sz w:val="20"/>
                <w:szCs w:val="20"/>
              </w:rPr>
              <w:t xml:space="preserve">Ensure that only the gin (not subcontractors) have access to the </w:t>
            </w:r>
            <w:r>
              <w:rPr>
                <w:rFonts w:cs="Arial"/>
                <w:color w:val="404040" w:themeColor="text1" w:themeTint="BF"/>
                <w:sz w:val="20"/>
                <w:szCs w:val="20"/>
              </w:rPr>
              <w:t>BCP</w:t>
            </w:r>
            <w:r w:rsidRPr="00987BCF">
              <w:rPr>
                <w:rFonts w:cs="Arial"/>
                <w:color w:val="404040" w:themeColor="text1" w:themeTint="BF"/>
                <w:sz w:val="20"/>
                <w:szCs w:val="20"/>
              </w:rPr>
              <w:t xml:space="preserve"> and are responsible for entering data into the system</w:t>
            </w:r>
          </w:p>
          <w:p w:rsidR="003709E4" w:rsidRPr="006D60D9" w:rsidRDefault="003709E4" w:rsidP="006D60D9">
            <w:pPr>
              <w:pStyle w:val="BCIBodyCopy"/>
              <w:spacing w:before="40" w:after="40"/>
              <w:rPr>
                <w:rFonts w:cs="Arial"/>
                <w:b/>
                <w:bCs/>
                <w:i/>
                <w:color w:val="404040" w:themeColor="text1" w:themeTint="BF"/>
                <w:sz w:val="20"/>
                <w:szCs w:val="20"/>
              </w:rPr>
            </w:pPr>
            <w:r>
              <w:tab/>
            </w:r>
          </w:p>
        </w:tc>
        <w:tc>
          <w:tcPr>
            <w:tcW w:w="2268" w:type="dxa"/>
          </w:tcPr>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709E4" w:rsidRDefault="003709E4"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709E4" w:rsidRPr="009F214F" w:rsidRDefault="003709E4" w:rsidP="00632639">
            <w:pPr>
              <w:pStyle w:val="BCIBodyCopy"/>
              <w:spacing w:before="40" w:after="4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FC20DB">
              <w:rPr>
                <w:rFonts w:eastAsia="Times New Roman" w:cs="Arial"/>
                <w:color w:val="404040" w:themeColor="text1" w:themeTint="BF"/>
                <w:sz w:val="20"/>
                <w:szCs w:val="18"/>
                <w:shd w:val="clear" w:color="auto" w:fill="FFFFFF" w:themeFill="background1"/>
              </w:rPr>
            </w:r>
            <w:r w:rsidR="00FC20DB">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6237" w:type="dxa"/>
          </w:tcPr>
          <w:p w:rsidR="003709E4" w:rsidRDefault="003709E4"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3709E4" w:rsidRPr="0023780D" w:rsidTr="00897D0B">
        <w:trPr>
          <w:trHeight w:val="1477"/>
        </w:trPr>
        <w:tc>
          <w:tcPr>
            <w:tcW w:w="5098" w:type="dxa"/>
            <w:shd w:val="clear" w:color="auto" w:fill="F2F2F2" w:themeFill="background1" w:themeFillShade="F2"/>
          </w:tcPr>
          <w:p w:rsidR="003709E4" w:rsidRDefault="003709E4" w:rsidP="00632639">
            <w:pPr>
              <w:autoSpaceDE w:val="0"/>
              <w:autoSpaceDN w:val="0"/>
              <w:adjustRightInd w:val="0"/>
              <w:spacing w:after="0" w:line="240" w:lineRule="auto"/>
              <w:jc w:val="left"/>
              <w:rPr>
                <w:rFonts w:ascii="Arial" w:eastAsia="MS PGothic" w:hAnsi="Arial" w:cs="Arial"/>
                <w:color w:val="3C3C3B"/>
                <w:sz w:val="20"/>
                <w:szCs w:val="20"/>
                <w:lang w:eastAsia="en-GB"/>
              </w:rPr>
            </w:pPr>
            <w:r w:rsidRPr="00632639">
              <w:rPr>
                <w:rFonts w:ascii="Arial" w:eastAsia="MS PGothic" w:hAnsi="Arial" w:cs="Arial"/>
                <w:b/>
                <w:color w:val="3C3C3B"/>
                <w:sz w:val="20"/>
                <w:szCs w:val="20"/>
                <w:lang w:eastAsia="en-GB"/>
              </w:rPr>
              <w:t>4.7.1</w:t>
            </w:r>
            <w:r>
              <w:rPr>
                <w:rFonts w:ascii="Arial" w:eastAsia="MS PGothic" w:hAnsi="Arial" w:cs="Arial"/>
                <w:color w:val="3C3C3B"/>
                <w:sz w:val="20"/>
                <w:szCs w:val="20"/>
                <w:lang w:eastAsia="en-GB"/>
              </w:rPr>
              <w:t xml:space="preserve"> The gin shall provide BCI staff and appointed third-party auditors access to all sites handling or selling Better Cotton, and access to any records or documentation </w:t>
            </w:r>
          </w:p>
          <w:p w:rsidR="00950063" w:rsidRDefault="003709E4" w:rsidP="00950063">
            <w:pPr>
              <w:pStyle w:val="ListParagraph"/>
              <w:numPr>
                <w:ilvl w:val="0"/>
                <w:numId w:val="4"/>
              </w:numPr>
              <w:autoSpaceDE w:val="0"/>
              <w:autoSpaceDN w:val="0"/>
              <w:adjustRightInd w:val="0"/>
              <w:spacing w:after="0" w:line="240" w:lineRule="auto"/>
              <w:ind w:left="460" w:hanging="425"/>
              <w:rPr>
                <w:rFonts w:ascii="Arial" w:eastAsia="MS PGothic" w:hAnsi="Arial" w:cs="Arial"/>
                <w:color w:val="3C3C3B"/>
                <w:sz w:val="20"/>
                <w:szCs w:val="20"/>
                <w:lang w:eastAsia="en-GB"/>
              </w:rPr>
            </w:pPr>
            <w:r w:rsidRPr="00987BCF">
              <w:rPr>
                <w:rFonts w:ascii="Arial" w:eastAsia="MS PGothic" w:hAnsi="Arial" w:cs="Arial"/>
                <w:color w:val="3C3C3B"/>
                <w:sz w:val="20"/>
                <w:szCs w:val="20"/>
                <w:lang w:eastAsia="en-GB"/>
              </w:rPr>
              <w:t>Documents requested remotely shall be provided within 10 calendar days of the written request</w:t>
            </w:r>
          </w:p>
          <w:p w:rsidR="003709E4" w:rsidRPr="00950063" w:rsidRDefault="003709E4" w:rsidP="00950063">
            <w:pPr>
              <w:pStyle w:val="ListParagraph"/>
              <w:numPr>
                <w:ilvl w:val="0"/>
                <w:numId w:val="4"/>
              </w:numPr>
              <w:autoSpaceDE w:val="0"/>
              <w:autoSpaceDN w:val="0"/>
              <w:adjustRightInd w:val="0"/>
              <w:spacing w:after="0" w:line="240" w:lineRule="auto"/>
              <w:ind w:left="460" w:hanging="425"/>
              <w:rPr>
                <w:rFonts w:ascii="Arial" w:eastAsia="MS PGothic" w:hAnsi="Arial" w:cs="Arial"/>
                <w:color w:val="3C3C3B"/>
                <w:sz w:val="20"/>
                <w:szCs w:val="20"/>
                <w:lang w:eastAsia="en-GB"/>
              </w:rPr>
            </w:pPr>
            <w:r w:rsidRPr="00950063">
              <w:rPr>
                <w:rFonts w:ascii="Arial" w:eastAsia="MS PGothic" w:hAnsi="Arial" w:cs="Arial"/>
                <w:color w:val="3C3C3B"/>
                <w:sz w:val="20"/>
                <w:szCs w:val="20"/>
                <w:lang w:eastAsia="en-GB"/>
              </w:rPr>
              <w:t>Within 24 hours of being notified of a short-notice audit, the ginner shall provide access to the site for BCI or designated third-party auditors</w:t>
            </w:r>
          </w:p>
        </w:tc>
        <w:tc>
          <w:tcPr>
            <w:tcW w:w="2268" w:type="dxa"/>
          </w:tcPr>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709E4" w:rsidRDefault="003709E4"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709E4" w:rsidRPr="009F214F" w:rsidRDefault="003709E4" w:rsidP="00632639">
            <w:pPr>
              <w:pStyle w:val="BCIBodyCopy"/>
              <w:spacing w:before="40" w:after="4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FC20DB">
              <w:rPr>
                <w:rFonts w:eastAsia="Times New Roman" w:cs="Arial"/>
                <w:color w:val="404040" w:themeColor="text1" w:themeTint="BF"/>
                <w:sz w:val="20"/>
                <w:szCs w:val="18"/>
                <w:shd w:val="clear" w:color="auto" w:fill="FFFFFF" w:themeFill="background1"/>
              </w:rPr>
            </w:r>
            <w:r w:rsidR="00FC20DB">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6237" w:type="dxa"/>
          </w:tcPr>
          <w:p w:rsidR="003709E4" w:rsidRDefault="003709E4"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3709E4" w:rsidRPr="0023780D" w:rsidTr="00897D0B">
        <w:trPr>
          <w:trHeight w:val="2366"/>
        </w:trPr>
        <w:tc>
          <w:tcPr>
            <w:tcW w:w="5098" w:type="dxa"/>
            <w:shd w:val="clear" w:color="auto" w:fill="F2F2F2" w:themeFill="background1" w:themeFillShade="F2"/>
          </w:tcPr>
          <w:p w:rsidR="003709E4" w:rsidRDefault="003709E4" w:rsidP="00632639">
            <w:pPr>
              <w:autoSpaceDE w:val="0"/>
              <w:autoSpaceDN w:val="0"/>
              <w:adjustRightInd w:val="0"/>
              <w:spacing w:after="0" w:line="240" w:lineRule="auto"/>
              <w:jc w:val="left"/>
              <w:rPr>
                <w:rFonts w:ascii="Arial" w:eastAsia="MS PGothic" w:hAnsi="Arial" w:cs="Arial"/>
                <w:color w:val="3C3C3B"/>
                <w:sz w:val="20"/>
                <w:szCs w:val="20"/>
                <w:lang w:eastAsia="en-GB"/>
              </w:rPr>
            </w:pPr>
            <w:r w:rsidRPr="00632639">
              <w:rPr>
                <w:rFonts w:ascii="Arial" w:eastAsia="MS PGothic" w:hAnsi="Arial" w:cs="Arial"/>
                <w:b/>
                <w:color w:val="3C3C3B"/>
                <w:sz w:val="20"/>
                <w:szCs w:val="20"/>
                <w:lang w:eastAsia="en-GB"/>
              </w:rPr>
              <w:lastRenderedPageBreak/>
              <w:t>4.7.2</w:t>
            </w:r>
            <w:r>
              <w:rPr>
                <w:rFonts w:ascii="Arial" w:eastAsia="MS PGothic" w:hAnsi="Arial" w:cs="Arial"/>
                <w:color w:val="3C3C3B"/>
                <w:sz w:val="20"/>
                <w:szCs w:val="20"/>
                <w:lang w:eastAsia="en-GB"/>
              </w:rPr>
              <w:t xml:space="preserve"> If during gin monitoring visits or gin audits, BCI staff or third-party auditors identify nonconformities</w:t>
            </w:r>
          </w:p>
          <w:p w:rsidR="003709E4" w:rsidRDefault="003709E4" w:rsidP="00632639">
            <w:pPr>
              <w:autoSpaceDE w:val="0"/>
              <w:autoSpaceDN w:val="0"/>
              <w:adjustRightInd w:val="0"/>
              <w:spacing w:after="0" w:line="240" w:lineRule="auto"/>
              <w:jc w:val="left"/>
              <w:rPr>
                <w:rFonts w:ascii="Arial" w:eastAsia="MS PGothic" w:hAnsi="Arial" w:cs="Arial"/>
                <w:color w:val="3C3C3B"/>
                <w:sz w:val="20"/>
                <w:szCs w:val="20"/>
                <w:lang w:eastAsia="en-GB"/>
              </w:rPr>
            </w:pPr>
            <w:r>
              <w:rPr>
                <w:rFonts w:ascii="Arial" w:eastAsia="MS PGothic" w:hAnsi="Arial" w:cs="Arial"/>
                <w:color w:val="3C3C3B"/>
                <w:sz w:val="20"/>
                <w:szCs w:val="20"/>
                <w:lang w:eastAsia="en-GB"/>
              </w:rPr>
              <w:t>(NCs) with Chain of Custody requirements, the gin shall correct these NCs within the specified timeframe (</w:t>
            </w:r>
            <w:r w:rsidRPr="00632639">
              <w:rPr>
                <w:rFonts w:ascii="Arial" w:eastAsia="MS PGothic" w:hAnsi="Arial" w:cs="Arial"/>
                <w:i/>
                <w:color w:val="3C3C3B"/>
                <w:sz w:val="20"/>
                <w:szCs w:val="20"/>
                <w:lang w:eastAsia="en-GB"/>
              </w:rPr>
              <w:t>12 months for minors and 30 days for major NCs – refer to CoC Guidelines</w:t>
            </w:r>
            <w:r>
              <w:rPr>
                <w:rFonts w:ascii="Arial" w:eastAsia="MS PGothic" w:hAnsi="Arial" w:cs="Arial"/>
                <w:color w:val="3C3C3B"/>
                <w:sz w:val="20"/>
                <w:szCs w:val="20"/>
                <w:lang w:eastAsia="en-GB"/>
              </w:rPr>
              <w:t>)</w:t>
            </w:r>
          </w:p>
          <w:p w:rsidR="003709E4" w:rsidRDefault="003709E4" w:rsidP="00632639">
            <w:pPr>
              <w:autoSpaceDE w:val="0"/>
              <w:autoSpaceDN w:val="0"/>
              <w:adjustRightInd w:val="0"/>
              <w:spacing w:after="0" w:line="240" w:lineRule="auto"/>
              <w:jc w:val="left"/>
              <w:rPr>
                <w:rFonts w:ascii="Arial" w:eastAsia="MS PGothic" w:hAnsi="Arial" w:cs="Arial"/>
                <w:color w:val="3C3C3B"/>
                <w:sz w:val="20"/>
                <w:szCs w:val="20"/>
                <w:lang w:eastAsia="en-GB"/>
              </w:rPr>
            </w:pPr>
          </w:p>
          <w:p w:rsidR="003709E4" w:rsidRPr="003709E4" w:rsidRDefault="003709E4" w:rsidP="003709E4">
            <w:pPr>
              <w:autoSpaceDE w:val="0"/>
              <w:autoSpaceDN w:val="0"/>
              <w:adjustRightInd w:val="0"/>
              <w:spacing w:after="0" w:line="240" w:lineRule="auto"/>
              <w:jc w:val="left"/>
              <w:rPr>
                <w:rFonts w:ascii="Arial" w:eastAsia="MS PGothic" w:hAnsi="Arial" w:cs="Arial"/>
                <w:b/>
                <w:color w:val="3C3C3B"/>
                <w:sz w:val="20"/>
                <w:szCs w:val="20"/>
                <w:lang w:eastAsia="en-GB"/>
              </w:rPr>
            </w:pPr>
            <w:r w:rsidRPr="003709E4">
              <w:rPr>
                <w:rFonts w:ascii="Arial" w:eastAsia="MS PGothic" w:hAnsi="Arial" w:cs="Arial"/>
                <w:b/>
                <w:i/>
                <w:color w:val="3C3C3B"/>
                <w:sz w:val="20"/>
                <w:szCs w:val="20"/>
                <w:lang w:eastAsia="en-GB"/>
              </w:rPr>
              <w:t>[Guidance:  this requirement will apply to non-conformities from previous monitoring visits]</w:t>
            </w:r>
          </w:p>
        </w:tc>
        <w:tc>
          <w:tcPr>
            <w:tcW w:w="2268" w:type="dxa"/>
          </w:tcPr>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709E4" w:rsidRDefault="003709E4"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709E4" w:rsidRPr="009F214F" w:rsidRDefault="003709E4" w:rsidP="00632639">
            <w:pPr>
              <w:pStyle w:val="BCIBodyCopy"/>
              <w:spacing w:before="40" w:after="4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FC20DB">
              <w:rPr>
                <w:rFonts w:eastAsia="Times New Roman" w:cs="Arial"/>
                <w:color w:val="404040" w:themeColor="text1" w:themeTint="BF"/>
                <w:sz w:val="20"/>
                <w:szCs w:val="18"/>
                <w:shd w:val="clear" w:color="auto" w:fill="FFFFFF" w:themeFill="background1"/>
              </w:rPr>
            </w:r>
            <w:r w:rsidR="00FC20DB">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6237" w:type="dxa"/>
          </w:tcPr>
          <w:p w:rsidR="003709E4" w:rsidRDefault="003709E4" w:rsidP="0063263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3709E4" w:rsidRPr="0023780D" w:rsidTr="00897D0B">
        <w:trPr>
          <w:trHeight w:val="2248"/>
        </w:trPr>
        <w:tc>
          <w:tcPr>
            <w:tcW w:w="5098" w:type="dxa"/>
            <w:shd w:val="clear" w:color="auto" w:fill="F2F2F2" w:themeFill="background1" w:themeFillShade="F2"/>
          </w:tcPr>
          <w:p w:rsidR="003709E4" w:rsidRDefault="003709E4" w:rsidP="00632639">
            <w:pPr>
              <w:autoSpaceDE w:val="0"/>
              <w:autoSpaceDN w:val="0"/>
              <w:adjustRightInd w:val="0"/>
              <w:spacing w:after="0" w:line="240" w:lineRule="auto"/>
              <w:jc w:val="left"/>
              <w:rPr>
                <w:rFonts w:ascii="Arial" w:eastAsia="MS PGothic" w:hAnsi="Arial" w:cs="Arial"/>
                <w:color w:val="3C3C3B"/>
                <w:sz w:val="20"/>
                <w:szCs w:val="20"/>
                <w:lang w:eastAsia="en-GB"/>
              </w:rPr>
            </w:pPr>
            <w:r w:rsidRPr="00632639">
              <w:rPr>
                <w:rFonts w:ascii="Arial" w:eastAsia="MS PGothic" w:hAnsi="Arial" w:cs="Arial"/>
                <w:b/>
                <w:color w:val="3C3C3B"/>
                <w:sz w:val="20"/>
                <w:szCs w:val="20"/>
                <w:lang w:eastAsia="en-GB"/>
              </w:rPr>
              <w:t>4.7.4</w:t>
            </w:r>
            <w:r>
              <w:rPr>
                <w:rFonts w:ascii="Arial" w:eastAsia="MS PGothic" w:hAnsi="Arial" w:cs="Arial"/>
                <w:color w:val="3C3C3B"/>
                <w:sz w:val="20"/>
                <w:szCs w:val="20"/>
                <w:lang w:eastAsia="en-GB"/>
              </w:rPr>
              <w:t xml:space="preserve"> If the ginner agreement is cancelled and/or use of the BCP is suspended, the gin shall not</w:t>
            </w:r>
          </w:p>
          <w:p w:rsidR="003709E4" w:rsidRDefault="003709E4" w:rsidP="00632639">
            <w:pPr>
              <w:autoSpaceDE w:val="0"/>
              <w:autoSpaceDN w:val="0"/>
              <w:adjustRightInd w:val="0"/>
              <w:spacing w:after="0" w:line="240" w:lineRule="auto"/>
              <w:jc w:val="left"/>
              <w:rPr>
                <w:rFonts w:ascii="ArialMT" w:eastAsia="MS PGothic" w:hAnsi="ArialMT" w:cs="ArialMT"/>
                <w:color w:val="3C3C3B"/>
                <w:sz w:val="20"/>
                <w:szCs w:val="20"/>
                <w:lang w:eastAsia="en-GB"/>
              </w:rPr>
            </w:pPr>
            <w:r>
              <w:rPr>
                <w:rFonts w:ascii="ArialMT" w:eastAsia="MS PGothic" w:hAnsi="ArialMT" w:cs="ArialMT"/>
                <w:color w:val="3C3C3B"/>
                <w:sz w:val="20"/>
                <w:szCs w:val="20"/>
                <w:lang w:eastAsia="en-GB"/>
              </w:rPr>
              <w:t>sell any cotton as ‘Better Cotton’ or enter any transactions into the BCP until the agreement</w:t>
            </w:r>
          </w:p>
          <w:p w:rsidR="003709E4" w:rsidRPr="002727D3" w:rsidRDefault="003709E4" w:rsidP="00632639">
            <w:pPr>
              <w:autoSpaceDE w:val="0"/>
              <w:autoSpaceDN w:val="0"/>
              <w:adjustRightInd w:val="0"/>
              <w:spacing w:after="0" w:line="240" w:lineRule="auto"/>
              <w:jc w:val="left"/>
              <w:rPr>
                <w:rFonts w:ascii="Arial" w:eastAsia="MS PGothic" w:hAnsi="Arial" w:cs="Arial"/>
                <w:b/>
                <w:i/>
                <w:color w:val="3C3C3B"/>
                <w:sz w:val="20"/>
                <w:szCs w:val="20"/>
                <w:lang w:eastAsia="en-GB"/>
              </w:rPr>
            </w:pPr>
            <w:r>
              <w:rPr>
                <w:rFonts w:ascii="Arial" w:eastAsia="MS PGothic" w:hAnsi="Arial" w:cs="Arial"/>
                <w:color w:val="3C3C3B"/>
                <w:sz w:val="20"/>
                <w:szCs w:val="20"/>
                <w:lang w:eastAsia="en-GB"/>
              </w:rPr>
              <w:t xml:space="preserve">is reinstated. </w:t>
            </w:r>
          </w:p>
        </w:tc>
        <w:tc>
          <w:tcPr>
            <w:tcW w:w="2268" w:type="dxa"/>
          </w:tcPr>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3709E4" w:rsidRPr="00DE2EE0" w:rsidRDefault="003709E4" w:rsidP="00632639">
            <w:pPr>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FC20DB">
              <w:rPr>
                <w:rFonts w:ascii="Arial" w:eastAsia="Times New Roman" w:hAnsi="Arial" w:cs="Arial"/>
                <w:color w:val="404040" w:themeColor="text1" w:themeTint="BF"/>
                <w:sz w:val="20"/>
                <w:szCs w:val="18"/>
              </w:rPr>
            </w:r>
            <w:r w:rsidR="00FC20D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709E4" w:rsidRDefault="003709E4" w:rsidP="00632639">
            <w:pPr>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FC20DB">
              <w:rPr>
                <w:rFonts w:ascii="Arial" w:eastAsia="Times New Roman" w:hAnsi="Arial" w:cs="Arial"/>
                <w:color w:val="404040" w:themeColor="text1" w:themeTint="BF"/>
                <w:sz w:val="20"/>
                <w:szCs w:val="18"/>
                <w:shd w:val="clear" w:color="auto" w:fill="FFFFFF" w:themeFill="background1"/>
              </w:rPr>
            </w:r>
            <w:r w:rsidR="00FC20DB">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709E4" w:rsidRPr="009F214F" w:rsidRDefault="003709E4" w:rsidP="00632639">
            <w:pPr>
              <w:pStyle w:val="BCIBodyCopy"/>
              <w:spacing w:before="40" w:after="4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FC20DB">
              <w:rPr>
                <w:rFonts w:eastAsia="Times New Roman" w:cs="Arial"/>
                <w:color w:val="404040" w:themeColor="text1" w:themeTint="BF"/>
                <w:sz w:val="20"/>
                <w:szCs w:val="18"/>
                <w:shd w:val="clear" w:color="auto" w:fill="FFFFFF" w:themeFill="background1"/>
              </w:rPr>
            </w:r>
            <w:r w:rsidR="00FC20DB">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6237" w:type="dxa"/>
          </w:tcPr>
          <w:p w:rsidR="003709E4" w:rsidRDefault="003709E4" w:rsidP="0063263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716814" w:rsidRDefault="00716814" w:rsidP="00632639">
      <w:pPr>
        <w:pStyle w:val="Heading1"/>
        <w:spacing w:before="120"/>
      </w:pPr>
    </w:p>
    <w:p w:rsidR="00DC184F" w:rsidRDefault="00DC184F" w:rsidP="00DC184F"/>
    <w:p w:rsidR="00DC184F" w:rsidRDefault="00DC184F">
      <w:pPr>
        <w:spacing w:after="0" w:line="240" w:lineRule="auto"/>
        <w:jc w:val="left"/>
      </w:pPr>
      <w:r>
        <w:br w:type="page"/>
      </w:r>
    </w:p>
    <w:p w:rsidR="00DC184F" w:rsidRDefault="00CC324C" w:rsidP="00DC184F">
      <w:pPr>
        <w:pStyle w:val="Heading1"/>
        <w:spacing w:before="120"/>
      </w:pPr>
      <w:r>
        <w:lastRenderedPageBreak/>
        <w:t>Annex</w:t>
      </w:r>
      <w:r w:rsidR="00DC184F">
        <w:t xml:space="preserve"> 1: Worker </w:t>
      </w:r>
      <w:r w:rsidR="00950063">
        <w:t>i</w:t>
      </w:r>
      <w:r w:rsidR="00DC184F">
        <w:t>nterview record</w:t>
      </w:r>
    </w:p>
    <w:p w:rsidR="00CC324C" w:rsidRDefault="00CC324C" w:rsidP="00DC184F">
      <w:pPr>
        <w:rPr>
          <w:rFonts w:ascii="Arial" w:hAnsi="Arial" w:cs="Arial"/>
          <w:color w:val="3C3B3B"/>
          <w:sz w:val="20"/>
          <w:szCs w:val="20"/>
        </w:rPr>
      </w:pPr>
      <w:r w:rsidRPr="00CC324C">
        <w:rPr>
          <w:rFonts w:ascii="Arial" w:hAnsi="Arial" w:cs="Arial"/>
          <w:color w:val="3C3B3B"/>
          <w:sz w:val="20"/>
          <w:szCs w:val="20"/>
        </w:rPr>
        <w:t xml:space="preserve">This </w:t>
      </w:r>
      <w:r>
        <w:rPr>
          <w:rFonts w:ascii="Arial" w:hAnsi="Arial" w:cs="Arial"/>
          <w:color w:val="3C3B3B"/>
          <w:sz w:val="20"/>
          <w:szCs w:val="20"/>
        </w:rPr>
        <w:t>is</w:t>
      </w:r>
      <w:r w:rsidRPr="00CC324C">
        <w:rPr>
          <w:rFonts w:ascii="Arial" w:hAnsi="Arial" w:cs="Arial"/>
          <w:color w:val="3C3B3B"/>
          <w:sz w:val="20"/>
          <w:szCs w:val="20"/>
        </w:rPr>
        <w:t xml:space="preserve"> </w:t>
      </w:r>
      <w:r>
        <w:rPr>
          <w:rFonts w:ascii="Arial" w:hAnsi="Arial" w:cs="Arial"/>
          <w:color w:val="3C3B3B"/>
          <w:sz w:val="20"/>
          <w:szCs w:val="20"/>
        </w:rPr>
        <w:t xml:space="preserve">an </w:t>
      </w:r>
      <w:r w:rsidRPr="00CC324C">
        <w:rPr>
          <w:rFonts w:ascii="Arial" w:hAnsi="Arial" w:cs="Arial"/>
          <w:color w:val="3C3B3B"/>
          <w:sz w:val="20"/>
          <w:szCs w:val="20"/>
        </w:rPr>
        <w:t>optional (but recommended) table for recording interviews. Worker names can be withheld due to confidentiality</w:t>
      </w:r>
      <w:r w:rsidR="00FA1B67">
        <w:rPr>
          <w:rFonts w:ascii="Arial" w:hAnsi="Arial" w:cs="Arial"/>
          <w:color w:val="3C3B3B"/>
          <w:sz w:val="20"/>
          <w:szCs w:val="20"/>
        </w:rPr>
        <w:t>. I</w:t>
      </w:r>
      <w:r w:rsidRPr="00CC324C">
        <w:rPr>
          <w:rFonts w:ascii="Arial" w:hAnsi="Arial" w:cs="Arial"/>
          <w:color w:val="3C3B3B"/>
          <w:sz w:val="20"/>
          <w:szCs w:val="20"/>
        </w:rPr>
        <w:t>n th</w:t>
      </w:r>
      <w:r w:rsidR="00FA1B67">
        <w:rPr>
          <w:rFonts w:ascii="Arial" w:hAnsi="Arial" w:cs="Arial"/>
          <w:color w:val="3C3B3B"/>
          <w:sz w:val="20"/>
          <w:szCs w:val="20"/>
        </w:rPr>
        <w:t>e</w:t>
      </w:r>
      <w:r w:rsidRPr="00CC324C">
        <w:rPr>
          <w:rFonts w:ascii="Arial" w:hAnsi="Arial" w:cs="Arial"/>
          <w:color w:val="3C3B3B"/>
          <w:sz w:val="20"/>
          <w:szCs w:val="20"/>
        </w:rPr>
        <w:t xml:space="preserve">se cases, a short description of the role is sufficient.  </w:t>
      </w:r>
    </w:p>
    <w:tbl>
      <w:tblPr>
        <w:tblStyle w:val="TableGrid"/>
        <w:tblW w:w="13603" w:type="dxa"/>
        <w:tblLook w:val="04A0" w:firstRow="1" w:lastRow="0" w:firstColumn="1" w:lastColumn="0" w:noHBand="0" w:noVBand="1"/>
      </w:tblPr>
      <w:tblGrid>
        <w:gridCol w:w="3386"/>
        <w:gridCol w:w="2421"/>
        <w:gridCol w:w="7796"/>
      </w:tblGrid>
      <w:tr w:rsidR="00950063" w:rsidTr="00897D0B">
        <w:trPr>
          <w:trHeight w:val="274"/>
          <w:tblHeader/>
        </w:trPr>
        <w:tc>
          <w:tcPr>
            <w:tcW w:w="3386" w:type="dxa"/>
            <w:shd w:val="clear" w:color="auto" w:fill="C5E0B3" w:themeFill="accent6" w:themeFillTint="66"/>
          </w:tcPr>
          <w:p w:rsidR="00950063" w:rsidRPr="0023780D" w:rsidRDefault="00950063" w:rsidP="009158E6">
            <w:pPr>
              <w:pStyle w:val="BCIBodyCopy"/>
              <w:spacing w:before="40" w:after="40"/>
              <w:rPr>
                <w:b/>
                <w:sz w:val="20"/>
                <w:szCs w:val="20"/>
              </w:rPr>
            </w:pPr>
            <w:r>
              <w:rPr>
                <w:b/>
                <w:sz w:val="20"/>
                <w:szCs w:val="20"/>
              </w:rPr>
              <w:t>Interviewee name / description of role</w:t>
            </w:r>
          </w:p>
        </w:tc>
        <w:tc>
          <w:tcPr>
            <w:tcW w:w="2421" w:type="dxa"/>
            <w:shd w:val="clear" w:color="auto" w:fill="C5E0B3" w:themeFill="accent6" w:themeFillTint="66"/>
          </w:tcPr>
          <w:p w:rsidR="00950063" w:rsidRPr="0023780D" w:rsidRDefault="00950063" w:rsidP="009158E6">
            <w:pPr>
              <w:pStyle w:val="BCIBodyCopy"/>
              <w:spacing w:before="40" w:after="40"/>
              <w:rPr>
                <w:b/>
                <w:sz w:val="20"/>
                <w:szCs w:val="20"/>
              </w:rPr>
            </w:pPr>
            <w:r>
              <w:rPr>
                <w:b/>
                <w:sz w:val="20"/>
                <w:szCs w:val="20"/>
              </w:rPr>
              <w:t>Date and time interviewed</w:t>
            </w:r>
          </w:p>
        </w:tc>
        <w:tc>
          <w:tcPr>
            <w:tcW w:w="7796" w:type="dxa"/>
            <w:shd w:val="clear" w:color="auto" w:fill="C5E0B3" w:themeFill="accent6" w:themeFillTint="66"/>
          </w:tcPr>
          <w:p w:rsidR="00950063" w:rsidRDefault="00950063" w:rsidP="00CC324C">
            <w:pPr>
              <w:pStyle w:val="BCIBodyCopy"/>
              <w:spacing w:before="40" w:after="40"/>
              <w:rPr>
                <w:b/>
                <w:sz w:val="20"/>
                <w:szCs w:val="20"/>
              </w:rPr>
            </w:pPr>
            <w:r>
              <w:rPr>
                <w:b/>
                <w:sz w:val="20"/>
                <w:szCs w:val="20"/>
              </w:rPr>
              <w:t>Summary of interview notes</w:t>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r w:rsidR="00950063" w:rsidTr="00897D0B">
        <w:trPr>
          <w:trHeight w:val="851"/>
        </w:trPr>
        <w:tc>
          <w:tcPr>
            <w:tcW w:w="3386" w:type="dxa"/>
          </w:tcPr>
          <w:p w:rsidR="00950063" w:rsidRDefault="00950063" w:rsidP="00950063">
            <w:pPr>
              <w:rPr>
                <w:rFonts w:ascii="Arial" w:hAnsi="Arial" w:cs="Arial"/>
                <w:color w:val="3C3B3B"/>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2421"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c>
          <w:tcPr>
            <w:tcW w:w="7796" w:type="dxa"/>
          </w:tcPr>
          <w:p w:rsidR="00950063" w:rsidRDefault="00950063" w:rsidP="00950063">
            <w:pPr>
              <w:rPr>
                <w:rFonts w:ascii="Arial" w:hAnsi="Arial" w:cs="Arial"/>
                <w:color w:val="3C3B3B"/>
                <w:sz w:val="20"/>
                <w:szCs w:val="20"/>
              </w:rPr>
            </w:pPr>
            <w:r w:rsidRPr="00762AE8">
              <w:rPr>
                <w:rFonts w:eastAsia="Times New Roman" w:cs="Arial"/>
                <w:color w:val="404040" w:themeColor="text1" w:themeTint="BF"/>
                <w:sz w:val="18"/>
                <w:szCs w:val="18"/>
              </w:rPr>
              <w:fldChar w:fldCharType="begin">
                <w:ffData>
                  <w:name w:val="Text1"/>
                  <w:enabled/>
                  <w:calcOnExit w:val="0"/>
                  <w:textInput/>
                </w:ffData>
              </w:fldChar>
            </w:r>
            <w:r w:rsidRPr="00762AE8">
              <w:rPr>
                <w:rFonts w:eastAsia="Times New Roman" w:cs="Arial"/>
                <w:color w:val="404040" w:themeColor="text1" w:themeTint="BF"/>
                <w:sz w:val="18"/>
                <w:szCs w:val="18"/>
              </w:rPr>
              <w:instrText xml:space="preserve"> FORMTEXT </w:instrText>
            </w:r>
            <w:r w:rsidRPr="00762AE8">
              <w:rPr>
                <w:rFonts w:eastAsia="Times New Roman" w:cs="Arial"/>
                <w:color w:val="404040" w:themeColor="text1" w:themeTint="BF"/>
                <w:sz w:val="18"/>
                <w:szCs w:val="18"/>
              </w:rPr>
            </w:r>
            <w:r w:rsidRPr="00762AE8">
              <w:rPr>
                <w:rFonts w:eastAsia="Times New Roman" w:cs="Arial"/>
                <w:color w:val="404040" w:themeColor="text1" w:themeTint="BF"/>
                <w:sz w:val="18"/>
                <w:szCs w:val="18"/>
              </w:rPr>
              <w:fldChar w:fldCharType="separate"/>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t> </w:t>
            </w:r>
            <w:r w:rsidRPr="00762AE8">
              <w:rPr>
                <w:rFonts w:eastAsia="Times New Roman" w:cs="Arial"/>
                <w:color w:val="404040" w:themeColor="text1" w:themeTint="BF"/>
                <w:sz w:val="18"/>
                <w:szCs w:val="18"/>
              </w:rPr>
              <w:fldChar w:fldCharType="end"/>
            </w:r>
          </w:p>
        </w:tc>
      </w:tr>
    </w:tbl>
    <w:p w:rsidR="00CC324C" w:rsidRPr="00CC324C" w:rsidRDefault="00CC324C" w:rsidP="00DC184F">
      <w:pPr>
        <w:rPr>
          <w:rFonts w:ascii="Arial" w:hAnsi="Arial" w:cs="Arial"/>
          <w:color w:val="3C3B3B"/>
          <w:sz w:val="20"/>
          <w:szCs w:val="20"/>
        </w:rPr>
      </w:pPr>
    </w:p>
    <w:p w:rsidR="00DC184F" w:rsidRPr="00DC184F" w:rsidRDefault="00DC184F" w:rsidP="00DC184F"/>
    <w:sectPr w:rsidR="00DC184F" w:rsidRPr="00DC184F" w:rsidSect="00762C93">
      <w:headerReference w:type="default" r:id="rId15"/>
      <w:footerReference w:type="default" r:id="rId16"/>
      <w:pgSz w:w="16840" w:h="11900" w:orient="landscape"/>
      <w:pgMar w:top="1418"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DB" w:rsidRDefault="00FC20DB" w:rsidP="00755B10">
      <w:r>
        <w:separator/>
      </w:r>
    </w:p>
  </w:endnote>
  <w:endnote w:type="continuationSeparator" w:id="0">
    <w:p w:rsidR="00FC20DB" w:rsidRDefault="00FC20D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bson">
    <w:altName w:val="Times New Roman"/>
    <w:panose1 w:val="020B0604020202020204"/>
    <w:charset w:val="00"/>
    <w:family w:val="auto"/>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960818" w:rsidRDefault="00897D0B"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p>
  <w:p w:rsidR="00897D0B" w:rsidRPr="00960818" w:rsidRDefault="00897D0B"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00897D0B" w:rsidRPr="00960818" w:rsidRDefault="00897D0B" w:rsidP="00762C93">
    <w:pPr>
      <w:pStyle w:val="Footer"/>
      <w:ind w:right="64"/>
      <w:jc w:val="right"/>
      <w:rPr>
        <w:rFonts w:cs="Arial"/>
        <w:color w:val="75B843"/>
        <w:sz w:val="20"/>
        <w:szCs w:val="20"/>
      </w:rPr>
    </w:pPr>
    <w:r w:rsidRPr="00960818">
      <w:rPr>
        <w:rFonts w:cs="Arial"/>
        <w:color w:val="75B843"/>
        <w:sz w:val="20"/>
        <w:szCs w:val="20"/>
      </w:rPr>
      <w:t>BetterCotton.org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960818" w:rsidRDefault="00897D0B"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p>
  <w:p w:rsidR="00897D0B" w:rsidRPr="00960818" w:rsidRDefault="00897D0B"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00897D0B" w:rsidRPr="00960818" w:rsidRDefault="00897D0B" w:rsidP="008543A5">
    <w:pPr>
      <w:pStyle w:val="Footer"/>
      <w:ind w:right="64"/>
      <w:jc w:val="right"/>
      <w:rPr>
        <w:rFonts w:cs="Arial"/>
        <w:color w:val="75B843"/>
        <w:sz w:val="20"/>
        <w:szCs w:val="20"/>
      </w:rPr>
    </w:pPr>
    <w:r>
      <w:rPr>
        <w:rFonts w:cs="Arial"/>
        <w:color w:val="75B843"/>
        <w:sz w:val="20"/>
        <w:szCs w:val="20"/>
      </w:rPr>
      <w:t>BetterCotton.org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DB" w:rsidRDefault="00FC20DB" w:rsidP="00755B10">
      <w:r>
        <w:separator/>
      </w:r>
    </w:p>
  </w:footnote>
  <w:footnote w:type="continuationSeparator" w:id="0">
    <w:p w:rsidR="00FC20DB" w:rsidRDefault="00FC20DB" w:rsidP="00755B10">
      <w:r>
        <w:continuationSeparator/>
      </w:r>
    </w:p>
  </w:footnote>
  <w:footnote w:id="1">
    <w:p w:rsidR="00897D0B" w:rsidRPr="00950063" w:rsidRDefault="00897D0B" w:rsidP="007F2254">
      <w:pPr>
        <w:pStyle w:val="FootnoteText"/>
        <w:rPr>
          <w:rFonts w:ascii="Arial" w:hAnsi="Arial" w:cs="Arial"/>
          <w:color w:val="3C3C3B"/>
          <w:sz w:val="18"/>
          <w:szCs w:val="18"/>
        </w:rPr>
      </w:pPr>
      <w:r w:rsidRPr="00950063">
        <w:rPr>
          <w:rStyle w:val="FootnoteReference"/>
          <w:rFonts w:ascii="Arial" w:hAnsi="Arial" w:cs="Arial"/>
          <w:color w:val="3C3C3B"/>
          <w:sz w:val="18"/>
          <w:szCs w:val="18"/>
        </w:rPr>
        <w:footnoteRef/>
      </w:r>
      <w:r w:rsidRPr="00950063">
        <w:rPr>
          <w:rFonts w:ascii="Arial" w:hAnsi="Arial" w:cs="Arial"/>
          <w:color w:val="3C3C3B"/>
          <w:sz w:val="18"/>
          <w:szCs w:val="18"/>
        </w:rPr>
        <w:t xml:space="preserve"> Minor NCs: Gin shall correct the NC within 12 months and provide evidence to BCI or the third-party auditor demonstrating how the issue has been addressed.</w:t>
      </w:r>
    </w:p>
    <w:p w:rsidR="00897D0B" w:rsidRDefault="00897D0B" w:rsidP="007F2254">
      <w:pPr>
        <w:pStyle w:val="FootnoteText"/>
      </w:pPr>
      <w:r w:rsidRPr="00950063">
        <w:rPr>
          <w:rStyle w:val="highlight"/>
          <w:rFonts w:ascii="Arial" w:hAnsi="Arial" w:cs="Arial"/>
          <w:color w:val="3C3C3B"/>
          <w:sz w:val="18"/>
          <w:szCs w:val="18"/>
        </w:rPr>
        <w:t xml:space="preserve">  Major</w:t>
      </w:r>
      <w:r w:rsidRPr="00950063">
        <w:rPr>
          <w:rFonts w:ascii="Arial" w:hAnsi="Arial" w:cs="Arial"/>
          <w:color w:val="3C3C3B"/>
          <w:sz w:val="18"/>
          <w:szCs w:val="18"/>
        </w:rPr>
        <w:t xml:space="preserve"> NCs: gin shall correct the NC within 30 days and provide evidence to BCI or the third - party auditor demonstrating how the issue has been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Default="00897D0B">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4" name="Picture 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725598" w:rsidRDefault="00897D0B"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725598" w:rsidRDefault="00897D0B" w:rsidP="00D367D4">
    <w:pPr>
      <w:pStyle w:val="Header"/>
      <w:tabs>
        <w:tab w:val="clear" w:pos="8640"/>
        <w:tab w:val="right" w:pos="13467"/>
      </w:tabs>
      <w:rPr>
        <w:rFonts w:ascii="Arial" w:hAnsi="Arial" w:cs="Arial"/>
        <w:color w:val="404040" w:themeColor="text1" w:themeTint="BF"/>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C2274C" w:rsidRDefault="00897D0B" w:rsidP="00902A91">
    <w:pPr>
      <w:pStyle w:val="BCIHeading"/>
      <w:rPr>
        <w:b w:val="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C2274C" w:rsidRDefault="00897D0B" w:rsidP="00902A91">
    <w:pPr>
      <w:pStyle w:val="BCIHeading"/>
      <w:rPr>
        <w:b w:val="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0B" w:rsidRPr="00C2274C" w:rsidRDefault="00897D0B" w:rsidP="00902A91">
    <w:pPr>
      <w:pStyle w:val="BCIHeading"/>
      <w:rPr>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35pt;height:20.05pt" o:bullet="t">
        <v:imagedata r:id="rId1" o:title="Bullet20px"/>
      </v:shape>
    </w:pict>
  </w:numPicBullet>
  <w:abstractNum w:abstractNumId="0" w15:restartNumberingAfterBreak="0">
    <w:nsid w:val="01194880"/>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915D6"/>
    <w:multiLevelType w:val="hybridMultilevel"/>
    <w:tmpl w:val="E2D23B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B3714"/>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0F2E48"/>
    <w:multiLevelType w:val="hybridMultilevel"/>
    <w:tmpl w:val="B8565C78"/>
    <w:lvl w:ilvl="0" w:tplc="DC84386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407C0B"/>
    <w:multiLevelType w:val="hybridMultilevel"/>
    <w:tmpl w:val="F3D84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37BC6"/>
    <w:multiLevelType w:val="hybridMultilevel"/>
    <w:tmpl w:val="F2A40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41893"/>
    <w:multiLevelType w:val="hybridMultilevel"/>
    <w:tmpl w:val="EABE2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EA1B3B"/>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A6647"/>
    <w:multiLevelType w:val="hybridMultilevel"/>
    <w:tmpl w:val="D73252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0F751E"/>
    <w:multiLevelType w:val="hybridMultilevel"/>
    <w:tmpl w:val="051C7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A84FE5"/>
    <w:multiLevelType w:val="hybridMultilevel"/>
    <w:tmpl w:val="70061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C7121A"/>
    <w:multiLevelType w:val="hybridMultilevel"/>
    <w:tmpl w:val="A3F0BD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CB6271"/>
    <w:multiLevelType w:val="hybridMultilevel"/>
    <w:tmpl w:val="051C7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7B1FF4"/>
    <w:multiLevelType w:val="hybridMultilevel"/>
    <w:tmpl w:val="416E7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A4AB6"/>
    <w:multiLevelType w:val="hybridMultilevel"/>
    <w:tmpl w:val="28605C44"/>
    <w:lvl w:ilvl="0" w:tplc="08090017">
      <w:start w:val="1"/>
      <w:numFmt w:val="lowerLetter"/>
      <w:lvlText w:val="%1)"/>
      <w:lvlJc w:val="left"/>
      <w:pPr>
        <w:ind w:left="685" w:hanging="360"/>
      </w:pPr>
      <w:rPr>
        <w:rFonts w:hint="default"/>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abstractNum w:abstractNumId="15" w15:restartNumberingAfterBreak="0">
    <w:nsid w:val="2F62122F"/>
    <w:multiLevelType w:val="hybridMultilevel"/>
    <w:tmpl w:val="6F8A8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4802C5"/>
    <w:multiLevelType w:val="hybridMultilevel"/>
    <w:tmpl w:val="C5A6E950"/>
    <w:lvl w:ilvl="0" w:tplc="A788A652">
      <w:start w:val="1"/>
      <w:numFmt w:val="bullet"/>
      <w:lvlText w:val=""/>
      <w:lvlJc w:val="left"/>
      <w:pPr>
        <w:ind w:left="720" w:hanging="360"/>
      </w:pPr>
      <w:rPr>
        <w:rFonts w:ascii="Symbol" w:hAnsi="Symbol"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61C10"/>
    <w:multiLevelType w:val="hybridMultilevel"/>
    <w:tmpl w:val="051C7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7A012C"/>
    <w:multiLevelType w:val="hybridMultilevel"/>
    <w:tmpl w:val="6298E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627F9D"/>
    <w:multiLevelType w:val="hybridMultilevel"/>
    <w:tmpl w:val="F45E4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414DB"/>
    <w:multiLevelType w:val="hybridMultilevel"/>
    <w:tmpl w:val="CC1CE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B050A8"/>
    <w:multiLevelType w:val="hybridMultilevel"/>
    <w:tmpl w:val="E2D23B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6C239E"/>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B4048F"/>
    <w:multiLevelType w:val="hybridMultilevel"/>
    <w:tmpl w:val="A3F0BD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676273"/>
    <w:multiLevelType w:val="hybridMultilevel"/>
    <w:tmpl w:val="5CDAA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C6515"/>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CB5011"/>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693A09"/>
    <w:multiLevelType w:val="hybridMultilevel"/>
    <w:tmpl w:val="6B2264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34DAF"/>
    <w:multiLevelType w:val="hybridMultilevel"/>
    <w:tmpl w:val="E2D23B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10907"/>
    <w:multiLevelType w:val="hybridMultilevel"/>
    <w:tmpl w:val="A3F0BD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7F38DC"/>
    <w:multiLevelType w:val="hybridMultilevel"/>
    <w:tmpl w:val="BE622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2965C1"/>
    <w:multiLevelType w:val="hybridMultilevel"/>
    <w:tmpl w:val="CC1CE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2450AA"/>
    <w:multiLevelType w:val="hybridMultilevel"/>
    <w:tmpl w:val="26D87CF6"/>
    <w:lvl w:ilvl="0" w:tplc="7EBA403C">
      <w:start w:val="1"/>
      <w:numFmt w:val="decimal"/>
      <w:lvlText w:val="%1."/>
      <w:lvlJc w:val="left"/>
      <w:pPr>
        <w:ind w:left="360" w:hanging="360"/>
      </w:pPr>
      <w:rPr>
        <w:rFonts w:ascii="Arial" w:eastAsia="MS PGothic" w:hAnsi="Arial" w:cs="Arial"/>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2F6573"/>
    <w:multiLevelType w:val="hybridMultilevel"/>
    <w:tmpl w:val="C9D81A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643B18"/>
    <w:multiLevelType w:val="hybridMultilevel"/>
    <w:tmpl w:val="A3F0BD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6A17C8"/>
    <w:multiLevelType w:val="hybridMultilevel"/>
    <w:tmpl w:val="35684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3F6C6F"/>
    <w:multiLevelType w:val="hybridMultilevel"/>
    <w:tmpl w:val="47BA3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2F76E3"/>
    <w:multiLevelType w:val="hybridMultilevel"/>
    <w:tmpl w:val="F2E01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952BB8"/>
    <w:multiLevelType w:val="hybridMultilevel"/>
    <w:tmpl w:val="573066A0"/>
    <w:lvl w:ilvl="0" w:tplc="7EBA403C">
      <w:start w:val="1"/>
      <w:numFmt w:val="decimal"/>
      <w:lvlText w:val="%1."/>
      <w:lvlJc w:val="left"/>
      <w:pPr>
        <w:ind w:left="360" w:hanging="360"/>
      </w:pPr>
      <w:rPr>
        <w:rFonts w:ascii="Arial" w:eastAsia="MS PGothic" w:hAnsi="Arial" w:cs="Arial"/>
      </w:rPr>
    </w:lvl>
    <w:lvl w:ilvl="1" w:tplc="69DA5F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4A4D0F"/>
    <w:multiLevelType w:val="hybridMultilevel"/>
    <w:tmpl w:val="07FE1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D9146E"/>
    <w:multiLevelType w:val="hybridMultilevel"/>
    <w:tmpl w:val="E33E5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E67189"/>
    <w:multiLevelType w:val="hybridMultilevel"/>
    <w:tmpl w:val="A3F0BD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36038D"/>
    <w:multiLevelType w:val="hybridMultilevel"/>
    <w:tmpl w:val="23BC3DB2"/>
    <w:lvl w:ilvl="0" w:tplc="588C820C">
      <w:start w:val="1"/>
      <w:numFmt w:val="decimal"/>
      <w:lvlText w:val="%1."/>
      <w:lvlJc w:val="left"/>
      <w:pPr>
        <w:ind w:left="360" w:hanging="360"/>
      </w:pPr>
      <w:rPr>
        <w:rFonts w:ascii="Arial" w:eastAsia="MS PGothic"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0"/>
  </w:num>
  <w:num w:numId="3">
    <w:abstractNumId w:val="14"/>
  </w:num>
  <w:num w:numId="4">
    <w:abstractNumId w:val="24"/>
  </w:num>
  <w:num w:numId="5">
    <w:abstractNumId w:val="39"/>
  </w:num>
  <w:num w:numId="6">
    <w:abstractNumId w:val="37"/>
  </w:num>
  <w:num w:numId="7">
    <w:abstractNumId w:val="42"/>
  </w:num>
  <w:num w:numId="8">
    <w:abstractNumId w:val="18"/>
  </w:num>
  <w:num w:numId="9">
    <w:abstractNumId w:val="17"/>
  </w:num>
  <w:num w:numId="10">
    <w:abstractNumId w:val="12"/>
  </w:num>
  <w:num w:numId="11">
    <w:abstractNumId w:val="9"/>
  </w:num>
  <w:num w:numId="12">
    <w:abstractNumId w:val="8"/>
  </w:num>
  <w:num w:numId="13">
    <w:abstractNumId w:val="19"/>
  </w:num>
  <w:num w:numId="14">
    <w:abstractNumId w:val="15"/>
  </w:num>
  <w:num w:numId="15">
    <w:abstractNumId w:val="10"/>
  </w:num>
  <w:num w:numId="16">
    <w:abstractNumId w:val="33"/>
  </w:num>
  <w:num w:numId="17">
    <w:abstractNumId w:val="32"/>
  </w:num>
  <w:num w:numId="18">
    <w:abstractNumId w:val="41"/>
  </w:num>
  <w:num w:numId="19">
    <w:abstractNumId w:val="25"/>
  </w:num>
  <w:num w:numId="20">
    <w:abstractNumId w:val="5"/>
  </w:num>
  <w:num w:numId="21">
    <w:abstractNumId w:val="35"/>
  </w:num>
  <w:num w:numId="22">
    <w:abstractNumId w:val="16"/>
  </w:num>
  <w:num w:numId="23">
    <w:abstractNumId w:val="23"/>
  </w:num>
  <w:num w:numId="24">
    <w:abstractNumId w:val="43"/>
  </w:num>
  <w:num w:numId="25">
    <w:abstractNumId w:val="13"/>
  </w:num>
  <w:num w:numId="26">
    <w:abstractNumId w:val="27"/>
  </w:num>
  <w:num w:numId="27">
    <w:abstractNumId w:val="11"/>
  </w:num>
  <w:num w:numId="28">
    <w:abstractNumId w:val="31"/>
  </w:num>
  <w:num w:numId="29">
    <w:abstractNumId w:val="44"/>
  </w:num>
  <w:num w:numId="30">
    <w:abstractNumId w:val="36"/>
  </w:num>
  <w:num w:numId="31">
    <w:abstractNumId w:val="6"/>
  </w:num>
  <w:num w:numId="32">
    <w:abstractNumId w:val="38"/>
  </w:num>
  <w:num w:numId="33">
    <w:abstractNumId w:val="4"/>
  </w:num>
  <w:num w:numId="34">
    <w:abstractNumId w:val="20"/>
  </w:num>
  <w:num w:numId="35">
    <w:abstractNumId w:val="29"/>
  </w:num>
  <w:num w:numId="36">
    <w:abstractNumId w:val="1"/>
  </w:num>
  <w:num w:numId="37">
    <w:abstractNumId w:val="21"/>
  </w:num>
  <w:num w:numId="38">
    <w:abstractNumId w:val="26"/>
  </w:num>
  <w:num w:numId="39">
    <w:abstractNumId w:val="34"/>
  </w:num>
  <w:num w:numId="40">
    <w:abstractNumId w:val="7"/>
  </w:num>
  <w:num w:numId="41">
    <w:abstractNumId w:val="22"/>
  </w:num>
  <w:num w:numId="42">
    <w:abstractNumId w:val="2"/>
  </w:num>
  <w:num w:numId="43">
    <w:abstractNumId w:val="40"/>
  </w:num>
  <w:num w:numId="44">
    <w:abstractNumId w:val="0"/>
  </w:num>
  <w:num w:numId="45">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documentProtection w:edit="forms" w:formatting="1" w:enforcement="1" w:cryptProviderType="rsaAES" w:cryptAlgorithmClass="hash" w:cryptAlgorithmType="typeAny" w:cryptAlgorithmSid="14" w:cryptSpinCount="100000" w:hash="uguepiiLEvs7JeSi3G5EUmYmNMTZWC+bTp37uI+wULoGQ8AYqUrztL1rKaeG4pnESD+AM3ymXUXBW5UR6Oxccg==" w:salt="moZt32Jqg5jRnHgdZz2Vd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0E"/>
    <w:rsid w:val="00000D91"/>
    <w:rsid w:val="0000158E"/>
    <w:rsid w:val="000015EE"/>
    <w:rsid w:val="00003C44"/>
    <w:rsid w:val="00004C7B"/>
    <w:rsid w:val="000060D4"/>
    <w:rsid w:val="00021CE5"/>
    <w:rsid w:val="00026D3A"/>
    <w:rsid w:val="00030AC6"/>
    <w:rsid w:val="00034C74"/>
    <w:rsid w:val="00051A2B"/>
    <w:rsid w:val="000522F3"/>
    <w:rsid w:val="00052513"/>
    <w:rsid w:val="00052A53"/>
    <w:rsid w:val="0005588E"/>
    <w:rsid w:val="00075EDD"/>
    <w:rsid w:val="000860B1"/>
    <w:rsid w:val="000A2018"/>
    <w:rsid w:val="000A3415"/>
    <w:rsid w:val="000A50B5"/>
    <w:rsid w:val="000B2DA3"/>
    <w:rsid w:val="000B55B9"/>
    <w:rsid w:val="000B7AD5"/>
    <w:rsid w:val="000C1736"/>
    <w:rsid w:val="000C36ED"/>
    <w:rsid w:val="000C445D"/>
    <w:rsid w:val="000D202C"/>
    <w:rsid w:val="000E0530"/>
    <w:rsid w:val="000E2CD5"/>
    <w:rsid w:val="000E3C32"/>
    <w:rsid w:val="000E4752"/>
    <w:rsid w:val="000E7032"/>
    <w:rsid w:val="000F5B21"/>
    <w:rsid w:val="000F6A96"/>
    <w:rsid w:val="00105A57"/>
    <w:rsid w:val="00107A17"/>
    <w:rsid w:val="00110EB7"/>
    <w:rsid w:val="001131F0"/>
    <w:rsid w:val="001148D1"/>
    <w:rsid w:val="00137FDD"/>
    <w:rsid w:val="001419A9"/>
    <w:rsid w:val="0014538C"/>
    <w:rsid w:val="00171027"/>
    <w:rsid w:val="001767B0"/>
    <w:rsid w:val="00181687"/>
    <w:rsid w:val="00186318"/>
    <w:rsid w:val="00192CEB"/>
    <w:rsid w:val="00197AB2"/>
    <w:rsid w:val="001A48EC"/>
    <w:rsid w:val="001A4AEB"/>
    <w:rsid w:val="001A4BC5"/>
    <w:rsid w:val="001A4C6A"/>
    <w:rsid w:val="001B7F55"/>
    <w:rsid w:val="001C0798"/>
    <w:rsid w:val="001D1430"/>
    <w:rsid w:val="001E056B"/>
    <w:rsid w:val="001E1C4F"/>
    <w:rsid w:val="001E7AE1"/>
    <w:rsid w:val="00213B5D"/>
    <w:rsid w:val="0021400B"/>
    <w:rsid w:val="00214030"/>
    <w:rsid w:val="00225004"/>
    <w:rsid w:val="0023780D"/>
    <w:rsid w:val="00240A70"/>
    <w:rsid w:val="00244A32"/>
    <w:rsid w:val="002479DD"/>
    <w:rsid w:val="002546D0"/>
    <w:rsid w:val="002554AC"/>
    <w:rsid w:val="00261426"/>
    <w:rsid w:val="00264619"/>
    <w:rsid w:val="00265A95"/>
    <w:rsid w:val="002727D3"/>
    <w:rsid w:val="00275B7C"/>
    <w:rsid w:val="00277902"/>
    <w:rsid w:val="00280184"/>
    <w:rsid w:val="00287ABB"/>
    <w:rsid w:val="00290F31"/>
    <w:rsid w:val="0029629E"/>
    <w:rsid w:val="002A191E"/>
    <w:rsid w:val="002A5EB8"/>
    <w:rsid w:val="002B7EFC"/>
    <w:rsid w:val="002C3953"/>
    <w:rsid w:val="002C4D7D"/>
    <w:rsid w:val="002D098F"/>
    <w:rsid w:val="002D348F"/>
    <w:rsid w:val="002D3F78"/>
    <w:rsid w:val="002D49F8"/>
    <w:rsid w:val="002E5DF5"/>
    <w:rsid w:val="002F3740"/>
    <w:rsid w:val="002F6F39"/>
    <w:rsid w:val="002F74F1"/>
    <w:rsid w:val="003125D5"/>
    <w:rsid w:val="00313972"/>
    <w:rsid w:val="00321B84"/>
    <w:rsid w:val="00331CAB"/>
    <w:rsid w:val="003329A6"/>
    <w:rsid w:val="0034136F"/>
    <w:rsid w:val="003416DF"/>
    <w:rsid w:val="00341FAC"/>
    <w:rsid w:val="00351B8B"/>
    <w:rsid w:val="003532DC"/>
    <w:rsid w:val="00365B95"/>
    <w:rsid w:val="003709E4"/>
    <w:rsid w:val="003940B9"/>
    <w:rsid w:val="003A3A9E"/>
    <w:rsid w:val="003D1EB2"/>
    <w:rsid w:val="003D705F"/>
    <w:rsid w:val="003E2C9A"/>
    <w:rsid w:val="003E45A8"/>
    <w:rsid w:val="003E61EA"/>
    <w:rsid w:val="003F5A82"/>
    <w:rsid w:val="00400C1F"/>
    <w:rsid w:val="00404295"/>
    <w:rsid w:val="004047BE"/>
    <w:rsid w:val="00405E01"/>
    <w:rsid w:val="00405EB5"/>
    <w:rsid w:val="0041290B"/>
    <w:rsid w:val="00417A1D"/>
    <w:rsid w:val="004248D7"/>
    <w:rsid w:val="0042589A"/>
    <w:rsid w:val="00442FA8"/>
    <w:rsid w:val="004505DE"/>
    <w:rsid w:val="00467F5F"/>
    <w:rsid w:val="00472258"/>
    <w:rsid w:val="00474F13"/>
    <w:rsid w:val="00477822"/>
    <w:rsid w:val="00482439"/>
    <w:rsid w:val="00484F3A"/>
    <w:rsid w:val="004871B4"/>
    <w:rsid w:val="00487756"/>
    <w:rsid w:val="004A4149"/>
    <w:rsid w:val="004B0EB0"/>
    <w:rsid w:val="004B7FC5"/>
    <w:rsid w:val="004C4736"/>
    <w:rsid w:val="004E089A"/>
    <w:rsid w:val="004E2F80"/>
    <w:rsid w:val="004E4189"/>
    <w:rsid w:val="004E66B5"/>
    <w:rsid w:val="004F7E77"/>
    <w:rsid w:val="00517916"/>
    <w:rsid w:val="00525502"/>
    <w:rsid w:val="00530A94"/>
    <w:rsid w:val="00535A5A"/>
    <w:rsid w:val="005371FB"/>
    <w:rsid w:val="0054123F"/>
    <w:rsid w:val="00545BD1"/>
    <w:rsid w:val="00547B29"/>
    <w:rsid w:val="00547E37"/>
    <w:rsid w:val="0055372F"/>
    <w:rsid w:val="005671D6"/>
    <w:rsid w:val="005712AF"/>
    <w:rsid w:val="0057341F"/>
    <w:rsid w:val="00576738"/>
    <w:rsid w:val="00590E99"/>
    <w:rsid w:val="00596062"/>
    <w:rsid w:val="00596086"/>
    <w:rsid w:val="0059789E"/>
    <w:rsid w:val="00597E83"/>
    <w:rsid w:val="005A5C21"/>
    <w:rsid w:val="005A5ECE"/>
    <w:rsid w:val="005B4697"/>
    <w:rsid w:val="005C3836"/>
    <w:rsid w:val="005C446B"/>
    <w:rsid w:val="005C5155"/>
    <w:rsid w:val="005C5499"/>
    <w:rsid w:val="005C5B54"/>
    <w:rsid w:val="005D6F4A"/>
    <w:rsid w:val="005E054E"/>
    <w:rsid w:val="005E719F"/>
    <w:rsid w:val="006057D9"/>
    <w:rsid w:val="00606DF8"/>
    <w:rsid w:val="00612184"/>
    <w:rsid w:val="00620D0B"/>
    <w:rsid w:val="00621E09"/>
    <w:rsid w:val="00632639"/>
    <w:rsid w:val="00636AF3"/>
    <w:rsid w:val="0064611D"/>
    <w:rsid w:val="00653992"/>
    <w:rsid w:val="006558A4"/>
    <w:rsid w:val="0065763C"/>
    <w:rsid w:val="00661665"/>
    <w:rsid w:val="00663F28"/>
    <w:rsid w:val="00674844"/>
    <w:rsid w:val="00683687"/>
    <w:rsid w:val="00696CE4"/>
    <w:rsid w:val="00696DF0"/>
    <w:rsid w:val="00697342"/>
    <w:rsid w:val="00697889"/>
    <w:rsid w:val="006D09CA"/>
    <w:rsid w:val="006D279E"/>
    <w:rsid w:val="006D2E29"/>
    <w:rsid w:val="006D60D9"/>
    <w:rsid w:val="006F7292"/>
    <w:rsid w:val="00712467"/>
    <w:rsid w:val="00716814"/>
    <w:rsid w:val="00725598"/>
    <w:rsid w:val="00726785"/>
    <w:rsid w:val="00735275"/>
    <w:rsid w:val="00752B74"/>
    <w:rsid w:val="00753484"/>
    <w:rsid w:val="00755B10"/>
    <w:rsid w:val="00762C93"/>
    <w:rsid w:val="007651A0"/>
    <w:rsid w:val="00765262"/>
    <w:rsid w:val="0076578D"/>
    <w:rsid w:val="007721F3"/>
    <w:rsid w:val="007739B9"/>
    <w:rsid w:val="0078254A"/>
    <w:rsid w:val="00782C91"/>
    <w:rsid w:val="00783370"/>
    <w:rsid w:val="00792345"/>
    <w:rsid w:val="007925FB"/>
    <w:rsid w:val="0079519C"/>
    <w:rsid w:val="007B28E8"/>
    <w:rsid w:val="007C11A9"/>
    <w:rsid w:val="007D10AA"/>
    <w:rsid w:val="007D30B2"/>
    <w:rsid w:val="007D7669"/>
    <w:rsid w:val="007F2254"/>
    <w:rsid w:val="007F5340"/>
    <w:rsid w:val="00803F51"/>
    <w:rsid w:val="00812FE1"/>
    <w:rsid w:val="00813DFD"/>
    <w:rsid w:val="00823ABA"/>
    <w:rsid w:val="00835793"/>
    <w:rsid w:val="00840EF8"/>
    <w:rsid w:val="00844850"/>
    <w:rsid w:val="008543A5"/>
    <w:rsid w:val="00855DD7"/>
    <w:rsid w:val="008608FE"/>
    <w:rsid w:val="008708F5"/>
    <w:rsid w:val="0088350E"/>
    <w:rsid w:val="008835D4"/>
    <w:rsid w:val="0088378E"/>
    <w:rsid w:val="00890229"/>
    <w:rsid w:val="0089107B"/>
    <w:rsid w:val="00891239"/>
    <w:rsid w:val="008913EA"/>
    <w:rsid w:val="008938AA"/>
    <w:rsid w:val="00897D0B"/>
    <w:rsid w:val="008A0A85"/>
    <w:rsid w:val="008A3609"/>
    <w:rsid w:val="008A551F"/>
    <w:rsid w:val="008B55DB"/>
    <w:rsid w:val="008C3E40"/>
    <w:rsid w:val="008C4D0B"/>
    <w:rsid w:val="008D373E"/>
    <w:rsid w:val="008D636F"/>
    <w:rsid w:val="008E4D2A"/>
    <w:rsid w:val="008F2D0E"/>
    <w:rsid w:val="008F4F35"/>
    <w:rsid w:val="00902A91"/>
    <w:rsid w:val="00906CE5"/>
    <w:rsid w:val="00914FD5"/>
    <w:rsid w:val="009158E6"/>
    <w:rsid w:val="00924257"/>
    <w:rsid w:val="009254B9"/>
    <w:rsid w:val="00945695"/>
    <w:rsid w:val="00950063"/>
    <w:rsid w:val="00953557"/>
    <w:rsid w:val="009564AC"/>
    <w:rsid w:val="00960818"/>
    <w:rsid w:val="00960A65"/>
    <w:rsid w:val="00961BD5"/>
    <w:rsid w:val="009645EC"/>
    <w:rsid w:val="00967824"/>
    <w:rsid w:val="00971416"/>
    <w:rsid w:val="00972D17"/>
    <w:rsid w:val="00972F89"/>
    <w:rsid w:val="00975063"/>
    <w:rsid w:val="00987BCF"/>
    <w:rsid w:val="0099001A"/>
    <w:rsid w:val="00991865"/>
    <w:rsid w:val="00993E02"/>
    <w:rsid w:val="009B056E"/>
    <w:rsid w:val="009B14BE"/>
    <w:rsid w:val="009D2F41"/>
    <w:rsid w:val="009D6DDB"/>
    <w:rsid w:val="009E25CC"/>
    <w:rsid w:val="009F214F"/>
    <w:rsid w:val="009F7888"/>
    <w:rsid w:val="00A0077B"/>
    <w:rsid w:val="00A5232A"/>
    <w:rsid w:val="00A56107"/>
    <w:rsid w:val="00A625D7"/>
    <w:rsid w:val="00A738CD"/>
    <w:rsid w:val="00A75489"/>
    <w:rsid w:val="00A86BA3"/>
    <w:rsid w:val="00A87EE6"/>
    <w:rsid w:val="00A932D2"/>
    <w:rsid w:val="00AB09F8"/>
    <w:rsid w:val="00AB3CEA"/>
    <w:rsid w:val="00AC002D"/>
    <w:rsid w:val="00AC5B5C"/>
    <w:rsid w:val="00AD06B4"/>
    <w:rsid w:val="00AE219A"/>
    <w:rsid w:val="00AE396E"/>
    <w:rsid w:val="00AF7AF4"/>
    <w:rsid w:val="00B01CCA"/>
    <w:rsid w:val="00B12428"/>
    <w:rsid w:val="00B15E1B"/>
    <w:rsid w:val="00B17BDD"/>
    <w:rsid w:val="00B209C4"/>
    <w:rsid w:val="00B53062"/>
    <w:rsid w:val="00B6556C"/>
    <w:rsid w:val="00B65D14"/>
    <w:rsid w:val="00B77406"/>
    <w:rsid w:val="00B90F19"/>
    <w:rsid w:val="00BB3BA6"/>
    <w:rsid w:val="00BC057D"/>
    <w:rsid w:val="00BC3D0F"/>
    <w:rsid w:val="00BD00EE"/>
    <w:rsid w:val="00BD0FBD"/>
    <w:rsid w:val="00BD4923"/>
    <w:rsid w:val="00BE0E43"/>
    <w:rsid w:val="00BE2240"/>
    <w:rsid w:val="00BE3F96"/>
    <w:rsid w:val="00BE588F"/>
    <w:rsid w:val="00BE58C8"/>
    <w:rsid w:val="00BF789B"/>
    <w:rsid w:val="00C042D0"/>
    <w:rsid w:val="00C11AB8"/>
    <w:rsid w:val="00C134E5"/>
    <w:rsid w:val="00C175EB"/>
    <w:rsid w:val="00C2274C"/>
    <w:rsid w:val="00C23A27"/>
    <w:rsid w:val="00C244C6"/>
    <w:rsid w:val="00C3590A"/>
    <w:rsid w:val="00C36735"/>
    <w:rsid w:val="00C40EEE"/>
    <w:rsid w:val="00C41AB6"/>
    <w:rsid w:val="00C63D21"/>
    <w:rsid w:val="00C7247E"/>
    <w:rsid w:val="00C73747"/>
    <w:rsid w:val="00C878D5"/>
    <w:rsid w:val="00C931AF"/>
    <w:rsid w:val="00CB5030"/>
    <w:rsid w:val="00CB560D"/>
    <w:rsid w:val="00CB75BC"/>
    <w:rsid w:val="00CC324C"/>
    <w:rsid w:val="00CE7F95"/>
    <w:rsid w:val="00D018BD"/>
    <w:rsid w:val="00D02209"/>
    <w:rsid w:val="00D030B1"/>
    <w:rsid w:val="00D069F3"/>
    <w:rsid w:val="00D1315A"/>
    <w:rsid w:val="00D139A5"/>
    <w:rsid w:val="00D1675C"/>
    <w:rsid w:val="00D17866"/>
    <w:rsid w:val="00D27C02"/>
    <w:rsid w:val="00D30E64"/>
    <w:rsid w:val="00D367D4"/>
    <w:rsid w:val="00D51394"/>
    <w:rsid w:val="00D5333D"/>
    <w:rsid w:val="00D63997"/>
    <w:rsid w:val="00D7191C"/>
    <w:rsid w:val="00D7330E"/>
    <w:rsid w:val="00D828A3"/>
    <w:rsid w:val="00D91705"/>
    <w:rsid w:val="00D9442D"/>
    <w:rsid w:val="00D97859"/>
    <w:rsid w:val="00DA0645"/>
    <w:rsid w:val="00DA072E"/>
    <w:rsid w:val="00DA70FB"/>
    <w:rsid w:val="00DA7670"/>
    <w:rsid w:val="00DB6367"/>
    <w:rsid w:val="00DC184F"/>
    <w:rsid w:val="00DC2490"/>
    <w:rsid w:val="00DC4614"/>
    <w:rsid w:val="00DC76E1"/>
    <w:rsid w:val="00DD48A9"/>
    <w:rsid w:val="00DE2EE0"/>
    <w:rsid w:val="00DE5B91"/>
    <w:rsid w:val="00DF45C3"/>
    <w:rsid w:val="00DF6494"/>
    <w:rsid w:val="00E02E6B"/>
    <w:rsid w:val="00E11805"/>
    <w:rsid w:val="00E269CC"/>
    <w:rsid w:val="00E31664"/>
    <w:rsid w:val="00E62560"/>
    <w:rsid w:val="00E8013F"/>
    <w:rsid w:val="00E82D36"/>
    <w:rsid w:val="00E973E9"/>
    <w:rsid w:val="00EC6194"/>
    <w:rsid w:val="00ED71E7"/>
    <w:rsid w:val="00F119FB"/>
    <w:rsid w:val="00F142D8"/>
    <w:rsid w:val="00F155D1"/>
    <w:rsid w:val="00F158C2"/>
    <w:rsid w:val="00F3452B"/>
    <w:rsid w:val="00F40905"/>
    <w:rsid w:val="00F5563F"/>
    <w:rsid w:val="00F57145"/>
    <w:rsid w:val="00F660E8"/>
    <w:rsid w:val="00F7200A"/>
    <w:rsid w:val="00F771CD"/>
    <w:rsid w:val="00F77C98"/>
    <w:rsid w:val="00F80EEB"/>
    <w:rsid w:val="00F86DBF"/>
    <w:rsid w:val="00F90954"/>
    <w:rsid w:val="00F90FE0"/>
    <w:rsid w:val="00F96E1B"/>
    <w:rsid w:val="00FA0A97"/>
    <w:rsid w:val="00FA1B67"/>
    <w:rsid w:val="00FA491E"/>
    <w:rsid w:val="00FA4F39"/>
    <w:rsid w:val="00FA613C"/>
    <w:rsid w:val="00FB0861"/>
    <w:rsid w:val="00FB4C55"/>
    <w:rsid w:val="00FC20DB"/>
    <w:rsid w:val="00FC378A"/>
    <w:rsid w:val="00FD2BEA"/>
    <w:rsid w:val="00FD3EBF"/>
    <w:rsid w:val="00FD47AD"/>
    <w:rsid w:val="00FD6679"/>
    <w:rsid w:val="00FE030E"/>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0AC95B5D-9417-EA44-801C-C85EF83D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 w:type="character" w:styleId="UnresolvedMention">
    <w:name w:val="Unresolved Mention"/>
    <w:basedOn w:val="DefaultParagraphFont"/>
    <w:uiPriority w:val="99"/>
    <w:semiHidden/>
    <w:unhideWhenUsed/>
    <w:rsid w:val="00AE219A"/>
    <w:rPr>
      <w:color w:val="605E5C"/>
      <w:shd w:val="clear" w:color="auto" w:fill="E1DFDD"/>
    </w:rPr>
  </w:style>
  <w:style w:type="paragraph" w:styleId="FootnoteText">
    <w:name w:val="footnote text"/>
    <w:basedOn w:val="Normal"/>
    <w:link w:val="FootnoteTextChar"/>
    <w:uiPriority w:val="99"/>
    <w:semiHidden/>
    <w:unhideWhenUsed/>
    <w:rsid w:val="007F2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254"/>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7F2254"/>
    <w:rPr>
      <w:vertAlign w:val="superscript"/>
    </w:rPr>
  </w:style>
  <w:style w:type="character" w:customStyle="1" w:styleId="highlight">
    <w:name w:val="highlight"/>
    <w:basedOn w:val="DefaultParagraphFont"/>
    <w:rsid w:val="007F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678">
      <w:bodyDiv w:val="1"/>
      <w:marLeft w:val="0"/>
      <w:marRight w:val="0"/>
      <w:marTop w:val="0"/>
      <w:marBottom w:val="0"/>
      <w:divBdr>
        <w:top w:val="none" w:sz="0" w:space="0" w:color="auto"/>
        <w:left w:val="none" w:sz="0" w:space="0" w:color="auto"/>
        <w:bottom w:val="none" w:sz="0" w:space="0" w:color="auto"/>
        <w:right w:val="none" w:sz="0" w:space="0" w:color="auto"/>
      </w:divBdr>
    </w:div>
    <w:div w:id="644510440">
      <w:bodyDiv w:val="1"/>
      <w:marLeft w:val="0"/>
      <w:marRight w:val="0"/>
      <w:marTop w:val="0"/>
      <w:marBottom w:val="0"/>
      <w:divBdr>
        <w:top w:val="none" w:sz="0" w:space="0" w:color="auto"/>
        <w:left w:val="none" w:sz="0" w:space="0" w:color="auto"/>
        <w:bottom w:val="none" w:sz="0" w:space="0" w:color="auto"/>
        <w:right w:val="none" w:sz="0" w:space="0" w:color="auto"/>
      </w:divBdr>
    </w:div>
    <w:div w:id="1164394783">
      <w:bodyDiv w:val="1"/>
      <w:marLeft w:val="0"/>
      <w:marRight w:val="0"/>
      <w:marTop w:val="0"/>
      <w:marBottom w:val="0"/>
      <w:divBdr>
        <w:top w:val="none" w:sz="0" w:space="0" w:color="auto"/>
        <w:left w:val="none" w:sz="0" w:space="0" w:color="auto"/>
        <w:bottom w:val="none" w:sz="0" w:space="0" w:color="auto"/>
        <w:right w:val="none" w:sz="0" w:space="0" w:color="auto"/>
      </w:divBdr>
    </w:div>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28754310">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34940274">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833183737">
      <w:bodyDiv w:val="1"/>
      <w:marLeft w:val="0"/>
      <w:marRight w:val="0"/>
      <w:marTop w:val="0"/>
      <w:marBottom w:val="0"/>
      <w:divBdr>
        <w:top w:val="none" w:sz="0" w:space="0" w:color="auto"/>
        <w:left w:val="none" w:sz="0" w:space="0" w:color="auto"/>
        <w:bottom w:val="none" w:sz="0" w:space="0" w:color="auto"/>
        <w:right w:val="none" w:sz="0" w:space="0" w:color="auto"/>
      </w:divBdr>
    </w:div>
    <w:div w:id="1959994909">
      <w:bodyDiv w:val="1"/>
      <w:marLeft w:val="0"/>
      <w:marRight w:val="0"/>
      <w:marTop w:val="0"/>
      <w:marBottom w:val="0"/>
      <w:divBdr>
        <w:top w:val="none" w:sz="0" w:space="0" w:color="auto"/>
        <w:left w:val="none" w:sz="0" w:space="0" w:color="auto"/>
        <w:bottom w:val="none" w:sz="0" w:space="0" w:color="auto"/>
        <w:right w:val="none" w:sz="0" w:space="0" w:color="auto"/>
      </w:divBdr>
    </w:div>
    <w:div w:id="2096046075">
      <w:bodyDiv w:val="1"/>
      <w:marLeft w:val="0"/>
      <w:marRight w:val="0"/>
      <w:marTop w:val="0"/>
      <w:marBottom w:val="0"/>
      <w:divBdr>
        <w:top w:val="none" w:sz="0" w:space="0" w:color="auto"/>
        <w:left w:val="none" w:sz="0" w:space="0" w:color="auto"/>
        <w:bottom w:val="none" w:sz="0" w:space="0" w:color="auto"/>
        <w:right w:val="none" w:sz="0" w:space="0" w:color="auto"/>
      </w:divBdr>
      <w:divsChild>
        <w:div w:id="1574124838">
          <w:marLeft w:val="0"/>
          <w:marRight w:val="0"/>
          <w:marTop w:val="0"/>
          <w:marBottom w:val="0"/>
          <w:divBdr>
            <w:top w:val="none" w:sz="0" w:space="0" w:color="auto"/>
            <w:left w:val="none" w:sz="0" w:space="0" w:color="auto"/>
            <w:bottom w:val="none" w:sz="0" w:space="0" w:color="auto"/>
            <w:right w:val="none" w:sz="0" w:space="0" w:color="auto"/>
          </w:divBdr>
        </w:div>
        <w:div w:id="1917133169">
          <w:marLeft w:val="0"/>
          <w:marRight w:val="0"/>
          <w:marTop w:val="0"/>
          <w:marBottom w:val="0"/>
          <w:divBdr>
            <w:top w:val="none" w:sz="0" w:space="0" w:color="auto"/>
            <w:left w:val="none" w:sz="0" w:space="0" w:color="auto"/>
            <w:bottom w:val="none" w:sz="0" w:space="0" w:color="auto"/>
            <w:right w:val="none" w:sz="0" w:space="0" w:color="auto"/>
          </w:divBdr>
        </w:div>
        <w:div w:id="1917548894">
          <w:marLeft w:val="0"/>
          <w:marRight w:val="0"/>
          <w:marTop w:val="0"/>
          <w:marBottom w:val="0"/>
          <w:divBdr>
            <w:top w:val="none" w:sz="0" w:space="0" w:color="auto"/>
            <w:left w:val="none" w:sz="0" w:space="0" w:color="auto"/>
            <w:bottom w:val="none" w:sz="0" w:space="0" w:color="auto"/>
            <w:right w:val="none" w:sz="0" w:space="0" w:color="auto"/>
          </w:divBdr>
        </w:div>
        <w:div w:id="970481494">
          <w:marLeft w:val="0"/>
          <w:marRight w:val="0"/>
          <w:marTop w:val="0"/>
          <w:marBottom w:val="0"/>
          <w:divBdr>
            <w:top w:val="none" w:sz="0" w:space="0" w:color="auto"/>
            <w:left w:val="none" w:sz="0" w:space="0" w:color="auto"/>
            <w:bottom w:val="none" w:sz="0" w:space="0" w:color="auto"/>
            <w:right w:val="none" w:sz="0" w:space="0" w:color="auto"/>
          </w:divBdr>
        </w:div>
      </w:divsChild>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cotton.org/wp-content/uploads/2014/01/Better-Cotton-Chain-of-Custody-Guidelines-2018-v1.3.pdf"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maupton/Documents/BCI%20Gin%20Reporting%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3979-548B-7F45-B6E2-684B52A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Gin Reporting Template 2018.dotx</Template>
  <TotalTime>0</TotalTime>
  <Pages>11</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Upton</dc:creator>
  <cp:keywords/>
  <dc:description/>
  <cp:lastModifiedBy>Emma Upton</cp:lastModifiedBy>
  <cp:revision>1</cp:revision>
  <cp:lastPrinted>2018-07-30T12:39:00Z</cp:lastPrinted>
  <dcterms:created xsi:type="dcterms:W3CDTF">2018-09-13T12:48:00Z</dcterms:created>
  <dcterms:modified xsi:type="dcterms:W3CDTF">2018-09-13T12:48:00Z</dcterms:modified>
</cp:coreProperties>
</file>